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82B" w:rsidRPr="0079790A" w:rsidRDefault="00D309B7" w:rsidP="007C2B3D">
      <w:pPr>
        <w:jc w:val="both"/>
        <w:rPr>
          <w:b/>
          <w:sz w:val="28"/>
          <w:szCs w:val="28"/>
          <w:lang w:val="en-US"/>
        </w:rPr>
      </w:pPr>
      <w:r w:rsidRPr="0079790A">
        <w:rPr>
          <w:b/>
          <w:sz w:val="28"/>
          <w:szCs w:val="28"/>
          <w:lang w:val="en-US"/>
        </w:rPr>
        <w:t xml:space="preserve">“As the Romans read”: belang van </w:t>
      </w:r>
      <w:r w:rsidR="00C716C4" w:rsidRPr="0079790A">
        <w:rPr>
          <w:b/>
          <w:sz w:val="28"/>
          <w:szCs w:val="28"/>
          <w:lang w:val="en-US"/>
        </w:rPr>
        <w:t>colometrie</w:t>
      </w:r>
      <w:r w:rsidR="00A331B2" w:rsidRPr="0079790A">
        <w:rPr>
          <w:b/>
          <w:sz w:val="28"/>
          <w:szCs w:val="28"/>
          <w:lang w:val="en-US"/>
        </w:rPr>
        <w:t xml:space="preserve"> en tekst lay-out.</w:t>
      </w:r>
    </w:p>
    <w:p w:rsidR="00A331B2" w:rsidRPr="0066079E" w:rsidRDefault="00A331B2" w:rsidP="007C2B3D">
      <w:pPr>
        <w:jc w:val="right"/>
        <w:rPr>
          <w:lang w:val="en-US"/>
        </w:rPr>
      </w:pPr>
    </w:p>
    <w:p w:rsidR="00A331B2" w:rsidRPr="0071150C" w:rsidRDefault="00A331B2" w:rsidP="007C2B3D">
      <w:pPr>
        <w:jc w:val="both"/>
      </w:pPr>
      <w:r w:rsidRPr="00A331B2">
        <w:rPr>
          <w:lang w:val="en-US"/>
        </w:rPr>
        <w:t>“</w:t>
      </w:r>
      <w:r w:rsidRPr="007C2B3D">
        <w:rPr>
          <w:i/>
          <w:lang w:val="en-US"/>
        </w:rPr>
        <w:t>At the outset there existed a conviction that the modern mind could not be so degenerate as to be incapable of reading Latin as the Romans read it, that is to say, in the Roman order, and at a rate of speed which would not be intolerably slow in the reading of a modern tongue.</w:t>
      </w:r>
      <w:r w:rsidRPr="00A331B2">
        <w:rPr>
          <w:lang w:val="en-US"/>
        </w:rPr>
        <w:t xml:space="preserve">” </w:t>
      </w:r>
      <w:r w:rsidRPr="0071150C">
        <w:t>(Hale, 1887)</w:t>
      </w:r>
    </w:p>
    <w:p w:rsidR="0010407A" w:rsidRDefault="00C716C4" w:rsidP="007C2B3D">
      <w:pPr>
        <w:jc w:val="both"/>
      </w:pPr>
      <w:r>
        <w:t>D</w:t>
      </w:r>
      <w:r w:rsidR="003F42CD" w:rsidRPr="003F42CD">
        <w:t>it citaa</w:t>
      </w:r>
      <w:r>
        <w:t xml:space="preserve">t </w:t>
      </w:r>
      <w:r w:rsidR="003F42CD" w:rsidRPr="003F42CD">
        <w:t xml:space="preserve">van professor Hale </w:t>
      </w:r>
      <w:r>
        <w:t xml:space="preserve">is een mooie samenvatting van de zoektocht </w:t>
      </w:r>
      <w:r w:rsidR="0079790A">
        <w:t xml:space="preserve">waar leraren klassieke talen </w:t>
      </w:r>
      <w:r>
        <w:t xml:space="preserve">al meer dan een eeuw mee bezig zijn. Hoe leren we onze leerlingen </w:t>
      </w:r>
      <w:r w:rsidRPr="00C716C4">
        <w:t>Latijn lezen</w:t>
      </w:r>
      <w:r>
        <w:t xml:space="preserve">? Niet splitsen in zinsdelen, niet zoeken naar zinskernen, geen determineren en hakken en plakken, maar gewoon </w:t>
      </w:r>
      <w:r w:rsidRPr="00C716C4">
        <w:rPr>
          <w:i/>
        </w:rPr>
        <w:t>lezen</w:t>
      </w:r>
      <w:r>
        <w:t xml:space="preserve">. </w:t>
      </w:r>
      <w:r w:rsidR="003F42CD" w:rsidRPr="00C716C4">
        <w:rPr>
          <w:i/>
        </w:rPr>
        <w:t>Lezen</w:t>
      </w:r>
      <w:r w:rsidR="003F42CD">
        <w:t xml:space="preserve"> zoals de Romeinen laze</w:t>
      </w:r>
      <w:r w:rsidR="0010407A">
        <w:t>n, dat moet toch mogelijk zijn – daar willen we naarto</w:t>
      </w:r>
      <w:r>
        <w:t xml:space="preserve">e. </w:t>
      </w:r>
      <w:r w:rsidR="00EA4110" w:rsidRPr="0010407A">
        <w:t>Wat op het eerste zicht een heel duidelijk</w:t>
      </w:r>
      <w:r w:rsidR="007C2B3D">
        <w:t>e bewering</w:t>
      </w:r>
      <w:r w:rsidR="00EA4110" w:rsidRPr="0010407A">
        <w:t xml:space="preserve"> is, roept</w:t>
      </w:r>
      <w:r w:rsidR="00EA4110">
        <w:t xml:space="preserve"> bij herhaalde lectuur toch </w:t>
      </w:r>
      <w:r w:rsidR="00EA4110" w:rsidRPr="0010407A">
        <w:t xml:space="preserve">een aantal vragen op. </w:t>
      </w:r>
      <w:r w:rsidR="00EA4110">
        <w:t>W</w:t>
      </w:r>
      <w:r w:rsidR="00EA4110" w:rsidRPr="003F42CD">
        <w:t>a</w:t>
      </w:r>
      <w:r w:rsidR="000554D9">
        <w:t>nt wa</w:t>
      </w:r>
      <w:r w:rsidR="00EA4110" w:rsidRPr="003F42CD">
        <w:t>t weten we eigenlijk o</w:t>
      </w:r>
      <w:r w:rsidR="00EA4110">
        <w:t>ver hoe de Romeinen zelf lazen? Wie las er de werken die ook wij nu nog lezen en waarom?</w:t>
      </w:r>
      <w:r w:rsidR="00EA4110">
        <w:rPr>
          <w:rStyle w:val="Voetnootmarkering"/>
        </w:rPr>
        <w:footnoteReference w:id="1"/>
      </w:r>
      <w:r w:rsidR="00EA4110" w:rsidRPr="003F42CD">
        <w:t xml:space="preserve"> </w:t>
      </w:r>
      <w:r w:rsidR="00EA4110">
        <w:t xml:space="preserve"> </w:t>
      </w:r>
      <w:r w:rsidR="0010407A">
        <w:t>Wat weten wij over “the R</w:t>
      </w:r>
      <w:r w:rsidR="000554D9">
        <w:t xml:space="preserve">oman order” of </w:t>
      </w:r>
      <w:r w:rsidR="0010407A">
        <w:t>over het leestempo van Romeinen en is “intolerably slow” geen subjectief begrip</w:t>
      </w:r>
      <w:r w:rsidR="00EF39A8">
        <w:t xml:space="preserve"> en mogelijk onderhevig aan de tijd</w:t>
      </w:r>
      <w:r w:rsidR="0010407A">
        <w:t xml:space="preserve">? </w:t>
      </w:r>
      <w:r w:rsidR="0038312B">
        <w:t xml:space="preserve">De zoektocht naar antwoorden bracht me enkele waardevolle </w:t>
      </w:r>
      <w:r w:rsidR="00924CE9">
        <w:t>suggesties</w:t>
      </w:r>
      <w:r w:rsidR="0038312B">
        <w:t xml:space="preserve"> voor onze didactische praktijk.</w:t>
      </w:r>
    </w:p>
    <w:p w:rsidR="00966F63" w:rsidRPr="007062E1" w:rsidRDefault="00966F63" w:rsidP="007C2B3D">
      <w:pPr>
        <w:jc w:val="both"/>
        <w:rPr>
          <w:b/>
        </w:rPr>
      </w:pPr>
      <w:r w:rsidRPr="007062E1">
        <w:rPr>
          <w:b/>
        </w:rPr>
        <w:t>“in the Roman order”</w:t>
      </w:r>
    </w:p>
    <w:p w:rsidR="003F42CD" w:rsidRDefault="0038312B" w:rsidP="007C2B3D">
      <w:pPr>
        <w:jc w:val="both"/>
      </w:pPr>
      <w:r w:rsidRPr="0038312B">
        <w:t xml:space="preserve">Met “the Roman order” </w:t>
      </w:r>
      <w:r>
        <w:t>bedoelt Hale</w:t>
      </w:r>
      <w:r w:rsidR="000A6764">
        <w:t xml:space="preserve"> de volgorde waarin de woorden lineair werden neergeschreven. </w:t>
      </w:r>
      <w:r w:rsidR="003F42CD">
        <w:t xml:space="preserve">We gaan ervan uit dat Romeinen </w:t>
      </w:r>
      <w:r w:rsidR="000A6764">
        <w:t xml:space="preserve">lineair, </w:t>
      </w:r>
      <w:r w:rsidR="003F42CD">
        <w:t xml:space="preserve">van links naar rechts lazen, </w:t>
      </w:r>
      <w:r w:rsidR="003F42CD" w:rsidRPr="00EF39A8">
        <w:rPr>
          <w:i/>
        </w:rPr>
        <w:t xml:space="preserve">zoals </w:t>
      </w:r>
      <w:r w:rsidR="003F42CD">
        <w:t xml:space="preserve">ook wij nu van links naar rechts lezen. </w:t>
      </w:r>
      <w:r>
        <w:t xml:space="preserve">Of </w:t>
      </w:r>
      <w:r w:rsidR="00EF39A8">
        <w:t xml:space="preserve">gaan </w:t>
      </w:r>
      <w:r>
        <w:t>wij daarvan uit</w:t>
      </w:r>
      <w:r w:rsidR="00EF39A8">
        <w:t xml:space="preserve"> </w:t>
      </w:r>
      <w:r w:rsidR="00EF39A8" w:rsidRPr="00EF39A8">
        <w:rPr>
          <w:i/>
        </w:rPr>
        <w:t>omdat</w:t>
      </w:r>
      <w:r w:rsidR="00EF39A8">
        <w:t xml:space="preserve"> ook wij</w:t>
      </w:r>
      <w:r w:rsidR="009517D2">
        <w:t xml:space="preserve"> nu van links naar rechts lezen in onze moedertaal, maar ook in all</w:t>
      </w:r>
      <w:r w:rsidR="0079790A">
        <w:t>e andere talen die we beheersen?</w:t>
      </w:r>
      <w:r w:rsidR="00EF39A8">
        <w:t xml:space="preserve"> In de verschillende bronnen </w:t>
      </w:r>
      <w:r>
        <w:t>i.v.m.</w:t>
      </w:r>
      <w:r w:rsidR="00EF39A8">
        <w:t xml:space="preserve"> lezen bij de Romeinen vind ik geen enkele aanwijzing,</w:t>
      </w:r>
      <w:r w:rsidR="00966F63">
        <w:t xml:space="preserve"> geen enkel </w:t>
      </w:r>
      <w:r w:rsidR="009517D2">
        <w:t xml:space="preserve">antiek </w:t>
      </w:r>
      <w:r w:rsidR="00966F63">
        <w:t>citaat dat bevestigt</w:t>
      </w:r>
      <w:r w:rsidR="00EF39A8">
        <w:t xml:space="preserve"> dat R</w:t>
      </w:r>
      <w:r w:rsidR="00C716C4">
        <w:t>omeinen</w:t>
      </w:r>
      <w:r w:rsidR="00EF39A8">
        <w:t xml:space="preserve"> van links naar rechts lazen. </w:t>
      </w:r>
      <w:r w:rsidR="0066079E">
        <w:t xml:space="preserve">Wellicht omdat de </w:t>
      </w:r>
      <w:r w:rsidR="001C43B3">
        <w:t>praktijk te evident is om te be</w:t>
      </w:r>
      <w:r w:rsidR="0066079E">
        <w:t xml:space="preserve">noemen of beschrijven – zoals er wellicht ook geen antieke beschrijvingen zijn van hoe je de éne voet voor de andere zet bij het stappen. Maar toch, een onomstotelijk </w:t>
      </w:r>
      <w:r w:rsidR="000A6764">
        <w:t>bewijs dat Romeinen steeds lineair</w:t>
      </w:r>
      <w:r w:rsidR="0066079E">
        <w:t xml:space="preserve"> lazen, nooit eens “puzzelden” of voorop liepen om te kijken h</w:t>
      </w:r>
      <w:r w:rsidR="00BF72CB">
        <w:t>oe de zin verder liep, vond ik niet</w:t>
      </w:r>
      <w:r w:rsidR="00EF39A8">
        <w:t xml:space="preserve">. </w:t>
      </w:r>
    </w:p>
    <w:p w:rsidR="00966F63" w:rsidRPr="00E81C9F" w:rsidRDefault="00966F63" w:rsidP="007C2B3D">
      <w:pPr>
        <w:jc w:val="both"/>
        <w:rPr>
          <w:b/>
        </w:rPr>
      </w:pPr>
      <w:r w:rsidRPr="00E81C9F">
        <w:rPr>
          <w:b/>
        </w:rPr>
        <w:t>Een orale literatuur?</w:t>
      </w:r>
    </w:p>
    <w:p w:rsidR="00E424BD" w:rsidRDefault="00EF39A8" w:rsidP="007C2B3D">
      <w:pPr>
        <w:jc w:val="both"/>
      </w:pPr>
      <w:r>
        <w:t>Vaak wordt in dit verband aangehaald dat Romeinen hun literatuur vo</w:t>
      </w:r>
      <w:r w:rsidR="00C716C4">
        <w:t xml:space="preserve">oral auditief tot zich namen. </w:t>
      </w:r>
      <w:r w:rsidR="000A6764">
        <w:t xml:space="preserve">Twee </w:t>
      </w:r>
      <w:r w:rsidR="00384F00">
        <w:t xml:space="preserve">praktijken spelen daarin vooral een rol: die van de </w:t>
      </w:r>
      <w:r w:rsidR="00384F00" w:rsidRPr="00384F00">
        <w:rPr>
          <w:i/>
        </w:rPr>
        <w:t>recitationes</w:t>
      </w:r>
      <w:r w:rsidR="00384F00">
        <w:t xml:space="preserve"> en van de </w:t>
      </w:r>
      <w:r w:rsidR="00384F00" w:rsidRPr="00384F00">
        <w:rPr>
          <w:i/>
        </w:rPr>
        <w:t>lectores</w:t>
      </w:r>
      <w:r w:rsidR="00384F00">
        <w:t xml:space="preserve">. Parker (2009) </w:t>
      </w:r>
      <w:r w:rsidR="0038312B">
        <w:t>argumenteert</w:t>
      </w:r>
      <w:r w:rsidR="00384F00">
        <w:t xml:space="preserve"> dat r</w:t>
      </w:r>
      <w:r w:rsidR="00384F00">
        <w:rPr>
          <w:i/>
        </w:rPr>
        <w:t>ecitationes</w:t>
      </w:r>
      <w:r>
        <w:t xml:space="preserve"> in de eerste plaats belangrijk waren voor het social</w:t>
      </w:r>
      <w:r w:rsidR="00966F63">
        <w:t>e</w:t>
      </w:r>
      <w:r>
        <w:t xml:space="preserve"> leven in Rome. Wat de inhoud van een werk betreft, was het bijwonen van voorlezingen vooral een aanvulling op of een </w:t>
      </w:r>
      <w:r w:rsidR="00E46274">
        <w:t>voorbereiding van wat wel degelijk de belangrijkste manier van het tot zich nemen van li</w:t>
      </w:r>
      <w:r w:rsidR="00966F63">
        <w:t>t</w:t>
      </w:r>
      <w:r w:rsidR="00E46274">
        <w:t xml:space="preserve">eraire producten was, </w:t>
      </w:r>
      <w:r>
        <w:t xml:space="preserve">nl. het </w:t>
      </w:r>
      <w:r w:rsidR="0038312B">
        <w:t>privé</w:t>
      </w:r>
      <w:r w:rsidR="00384F00">
        <w:t xml:space="preserve"> lezen.</w:t>
      </w:r>
      <w:r w:rsidR="00E81C9F">
        <w:t xml:space="preserve"> </w:t>
      </w:r>
      <w:r w:rsidR="009517D2">
        <w:t>Schrijvers schreven</w:t>
      </w:r>
      <w:r w:rsidR="00E46274">
        <w:t xml:space="preserve"> om gelezen te worden, o</w:t>
      </w:r>
      <w:r>
        <w:t xml:space="preserve">m hun invloed verder uit te strekken, zowel in plaats als in tijd, dan </w:t>
      </w:r>
      <w:r w:rsidR="00E424BD">
        <w:t xml:space="preserve">de toehoorders op een </w:t>
      </w:r>
      <w:r w:rsidR="00E424BD" w:rsidRPr="001C43B3">
        <w:rPr>
          <w:i/>
        </w:rPr>
        <w:t>recitatio</w:t>
      </w:r>
      <w:r w:rsidR="00E424BD">
        <w:t xml:space="preserve">. Parker vergelijkt </w:t>
      </w:r>
      <w:r w:rsidR="00E424BD" w:rsidRPr="001C43B3">
        <w:rPr>
          <w:i/>
        </w:rPr>
        <w:t>recitationes</w:t>
      </w:r>
      <w:r w:rsidR="00E424BD">
        <w:t xml:space="preserve"> met schrijvers nu die voorlezen uit eigen werk. Het werk is geschreven om gelezen te </w:t>
      </w:r>
      <w:r w:rsidR="00E81C9F">
        <w:t>worden, maar bij bijzondere gelegenheden</w:t>
      </w:r>
      <w:r w:rsidR="00E424BD">
        <w:t xml:space="preserve"> wordt er een stukje uit voorgelezen. </w:t>
      </w:r>
    </w:p>
    <w:p w:rsidR="00EF39A8" w:rsidRDefault="005D0E03" w:rsidP="00BF72CB">
      <w:pPr>
        <w:jc w:val="both"/>
      </w:pPr>
      <w:r>
        <w:t>Wellicht valt de praktijk nog het best t</w:t>
      </w:r>
      <w:r w:rsidR="00EF39A8">
        <w:t>e</w:t>
      </w:r>
      <w:r>
        <w:t xml:space="preserve"> vergelijken met wat gangbaar is in de hedendaagse muziekwereld. Muzikanten stellen hun muziek voor tijdens</w:t>
      </w:r>
      <w:r w:rsidR="00384F00">
        <w:t xml:space="preserve"> live optredens</w:t>
      </w:r>
      <w:r w:rsidR="00BF72CB">
        <w:t>, maar</w:t>
      </w:r>
      <w:r>
        <w:t xml:space="preserve"> hun muziek </w:t>
      </w:r>
      <w:r w:rsidR="00BF72CB">
        <w:t xml:space="preserve">is wel </w:t>
      </w:r>
      <w:r w:rsidR="00BF72CB">
        <w:lastRenderedPageBreak/>
        <w:t xml:space="preserve">degelijk </w:t>
      </w:r>
      <w:r>
        <w:t xml:space="preserve">bedoeld voor een ruimer publiek </w:t>
      </w:r>
      <w:r w:rsidR="00EF39A8">
        <w:t xml:space="preserve">dan </w:t>
      </w:r>
      <w:r>
        <w:t xml:space="preserve">enkel de toehoorders bij een </w:t>
      </w:r>
      <w:r w:rsidR="00EF39A8">
        <w:t>optreden</w:t>
      </w:r>
      <w:r>
        <w:t xml:space="preserve"> en voor individuele ‘consumptie’</w:t>
      </w:r>
      <w:r w:rsidR="00EF39A8">
        <w:t>.</w:t>
      </w:r>
      <w:r>
        <w:t xml:space="preserve"> De vergelijking met de muziekwereld gaat ook in die mate op, dat muzikanten </w:t>
      </w:r>
      <w:r w:rsidR="00966F63">
        <w:t xml:space="preserve">meestal </w:t>
      </w:r>
      <w:r>
        <w:t>hun eigen muziek voo</w:t>
      </w:r>
      <w:r w:rsidR="00384F00">
        <w:t>rstellen tijdens een optreden</w:t>
      </w:r>
      <w:r w:rsidR="0079790A">
        <w:t>. Zo ook ware</w:t>
      </w:r>
      <w:r>
        <w:t xml:space="preserve">n het in </w:t>
      </w:r>
      <w:r w:rsidR="00966F63">
        <w:t xml:space="preserve">de klassieke periode in </w:t>
      </w:r>
      <w:r>
        <w:t>Rome me</w:t>
      </w:r>
      <w:r w:rsidR="0079790A">
        <w:t>estal de auteurs zelf die voorla</w:t>
      </w:r>
      <w:r>
        <w:t>zen uit eigen werk. Voorlezen uit werk van een andere of vroegere auteur</w:t>
      </w:r>
      <w:r w:rsidR="0079790A">
        <w:t xml:space="preserve"> gebeurde</w:t>
      </w:r>
      <w:r w:rsidR="00E81C9F">
        <w:t xml:space="preserve"> uiterst zelden</w:t>
      </w:r>
      <w:r w:rsidR="001C43B3">
        <w:t>.</w:t>
      </w:r>
      <w:r w:rsidR="00E81C9F">
        <w:t xml:space="preserve"> (Parker, 2009</w:t>
      </w:r>
      <w:r w:rsidR="001C43B3">
        <w:t>)</w:t>
      </w:r>
    </w:p>
    <w:p w:rsidR="00384F00" w:rsidRPr="00505FEC" w:rsidRDefault="00384F00" w:rsidP="00BF72CB">
      <w:pPr>
        <w:jc w:val="both"/>
      </w:pPr>
      <w:r>
        <w:t xml:space="preserve">Ook de praktijk </w:t>
      </w:r>
      <w:r w:rsidRPr="00384F00">
        <w:t xml:space="preserve">van </w:t>
      </w:r>
      <w:r w:rsidRPr="00384F00">
        <w:rPr>
          <w:i/>
        </w:rPr>
        <w:t>lectores</w:t>
      </w:r>
      <w:r w:rsidRPr="00384F00">
        <w:t xml:space="preserve"> wordt soms aangehaald om aan</w:t>
      </w:r>
      <w:r>
        <w:t xml:space="preserve"> te tonen dat literatuur eerder met de oren dan met de ogen werd “gelezen”</w:t>
      </w:r>
      <w:r w:rsidRPr="00384F00">
        <w:t xml:space="preserve">. Beide sluiten elkaar </w:t>
      </w:r>
      <w:r>
        <w:t>echter niet uit. Dat Plinius zich laat</w:t>
      </w:r>
      <w:r w:rsidRPr="00384F00">
        <w:t xml:space="preserve"> voorlezen</w:t>
      </w:r>
      <w:r>
        <w:t xml:space="preserve"> terwijl hij iets anders doet</w:t>
      </w:r>
      <w:r w:rsidR="00DD28C8">
        <w:t xml:space="preserve"> is in se niet anders dan wanneer wij muziek opzetten </w:t>
      </w:r>
      <w:r w:rsidR="00505FEC">
        <w:t xml:space="preserve">terwijl we bezig zijn of </w:t>
      </w:r>
      <w:r w:rsidRPr="00384F00">
        <w:t xml:space="preserve">luisteren naar een informatief programma op de radio. </w:t>
      </w:r>
      <w:r w:rsidRPr="00384F00">
        <w:rPr>
          <w:lang w:val="en-US"/>
        </w:rPr>
        <w:t>“Having someone read to you wh</w:t>
      </w:r>
      <w:r w:rsidR="0038312B">
        <w:rPr>
          <w:lang w:val="en-US"/>
        </w:rPr>
        <w:t>ile you do something else was and</w:t>
      </w:r>
      <w:r w:rsidRPr="00384F00">
        <w:rPr>
          <w:lang w:val="en-US"/>
        </w:rPr>
        <w:t xml:space="preserve"> is a common practice.” </w:t>
      </w:r>
      <w:r w:rsidRPr="00505FEC">
        <w:t>(Parker, p. 199)</w:t>
      </w:r>
    </w:p>
    <w:p w:rsidR="009517D2" w:rsidRDefault="00505FEC" w:rsidP="00BF72CB">
      <w:pPr>
        <w:jc w:val="both"/>
      </w:pPr>
      <w:r w:rsidRPr="00505FEC">
        <w:t>De</w:t>
      </w:r>
      <w:r w:rsidR="00966F63">
        <w:t xml:space="preserve"> artikel</w:t>
      </w:r>
      <w:r>
        <w:t>s</w:t>
      </w:r>
      <w:r w:rsidR="00966F63">
        <w:t xml:space="preserve"> van </w:t>
      </w:r>
      <w:r>
        <w:t xml:space="preserve">Johnson (2000) en </w:t>
      </w:r>
      <w:r w:rsidR="00966F63">
        <w:t xml:space="preserve">Parker </w:t>
      </w:r>
      <w:r>
        <w:t>(2009) tonen</w:t>
      </w:r>
      <w:r w:rsidR="00966F63">
        <w:t xml:space="preserve"> op overtuigende wijze aan dat literatuur geschreven werd om gelez</w:t>
      </w:r>
      <w:r w:rsidR="002C4C1A">
        <w:t>en te worden en dat de praktijk</w:t>
      </w:r>
      <w:r w:rsidR="00966F63">
        <w:t xml:space="preserve"> van het lezen, gewoon, op je</w:t>
      </w:r>
      <w:r w:rsidR="0079790A">
        <w:t>zelf, in stilte,</w:t>
      </w:r>
      <w:r w:rsidR="00966F63">
        <w:t xml:space="preserve"> </w:t>
      </w:r>
      <w:r w:rsidR="009517D2">
        <w:t>e</w:t>
      </w:r>
      <w:r w:rsidR="00966F63">
        <w:t>en gangbare praktijk was voor de hogere klasse.</w:t>
      </w:r>
      <w:r>
        <w:rPr>
          <w:rStyle w:val="Voetnootmarkering"/>
        </w:rPr>
        <w:footnoteReference w:id="2"/>
      </w:r>
    </w:p>
    <w:p w:rsidR="002C4C1A" w:rsidRDefault="00FA5EBF" w:rsidP="00BF72CB">
      <w:pPr>
        <w:jc w:val="both"/>
      </w:pPr>
      <w:r>
        <w:t>Maar dit</w:t>
      </w:r>
      <w:r w:rsidR="00505FEC">
        <w:t xml:space="preserve"> impliceert niet a priori dat dit in stilte lezen louter lineair</w:t>
      </w:r>
      <w:r>
        <w:t xml:space="preserve"> gebeurde – al is het hoogst aannemelijk. Er is geen 100% uitsluitsel dat een Romein die een zin niet goed begreep nooit een keer voorop liep</w:t>
      </w:r>
      <w:r w:rsidR="002C4C1A">
        <w:t xml:space="preserve"> o</w:t>
      </w:r>
      <w:r w:rsidR="009517D2">
        <w:t>p zoek naar een werkwoord of o</w:t>
      </w:r>
      <w:r w:rsidR="002C4C1A">
        <w:t>m te kijken hoe de zin verder liep.</w:t>
      </w:r>
      <w:r w:rsidR="00BF72CB">
        <w:t xml:space="preserve"> Er zijn echter</w:t>
      </w:r>
      <w:r>
        <w:t xml:space="preserve"> geen antieke citaten die die praktijk beschrijven. </w:t>
      </w:r>
    </w:p>
    <w:p w:rsidR="002C4C1A" w:rsidRPr="00E81C9F" w:rsidRDefault="00E81C9F" w:rsidP="007C2B3D">
      <w:pPr>
        <w:jc w:val="both"/>
        <w:rPr>
          <w:b/>
        </w:rPr>
      </w:pPr>
      <w:r>
        <w:rPr>
          <w:b/>
        </w:rPr>
        <w:t xml:space="preserve">Een manier van schrijven: </w:t>
      </w:r>
      <w:r w:rsidR="002C4C1A" w:rsidRPr="00E81C9F">
        <w:rPr>
          <w:b/>
        </w:rPr>
        <w:t>de vorm van literaire papyri</w:t>
      </w:r>
    </w:p>
    <w:p w:rsidR="00AA0D1D" w:rsidRDefault="005E60BB" w:rsidP="007C2B3D">
      <w:pPr>
        <w:jc w:val="both"/>
      </w:pPr>
      <w:r>
        <w:t>Manieren van l</w:t>
      </w:r>
      <w:r w:rsidR="00AA0D1D">
        <w:t>ezen en schrijven zijn heel nauw op elkaar betrokken.</w:t>
      </w:r>
      <w:r w:rsidR="00505FEC">
        <w:rPr>
          <w:rStyle w:val="Voetnootmarkering"/>
        </w:rPr>
        <w:footnoteReference w:id="3"/>
      </w:r>
      <w:r w:rsidR="00AA0D1D">
        <w:t xml:space="preserve"> </w:t>
      </w:r>
      <w:r w:rsidR="00E81C9F">
        <w:t>Als we</w:t>
      </w:r>
      <w:r w:rsidR="00AA0D1D" w:rsidRPr="00AA0D1D">
        <w:t xml:space="preserve"> wil</w:t>
      </w:r>
      <w:r w:rsidR="00E81C9F">
        <w:t>len</w:t>
      </w:r>
      <w:r w:rsidR="00AA0D1D" w:rsidRPr="00AA0D1D">
        <w:t xml:space="preserve"> w</w:t>
      </w:r>
      <w:r w:rsidR="00E81C9F">
        <w:t>eten hoe Romeinen lazen, moeten we</w:t>
      </w:r>
      <w:r w:rsidR="00AA0D1D" w:rsidRPr="00AA0D1D">
        <w:t xml:space="preserve"> dus weten hoe ze schreven. </w:t>
      </w:r>
      <w:r w:rsidR="00AA0D1D">
        <w:t>Wat is de vorm waarin de tek</w:t>
      </w:r>
      <w:r w:rsidR="004B0072">
        <w:t xml:space="preserve">st zich in de antieke </w:t>
      </w:r>
      <w:r w:rsidR="00AA0D1D">
        <w:t xml:space="preserve">boekrollen manifesteerde? En net in deze vorm vinden we een bewijs dat Romeinen lineair lazen. </w:t>
      </w:r>
    </w:p>
    <w:p w:rsidR="005E60BB" w:rsidRDefault="002C4C1A" w:rsidP="007C2B3D">
      <w:pPr>
        <w:jc w:val="both"/>
      </w:pPr>
      <w:r>
        <w:t xml:space="preserve">De </w:t>
      </w:r>
      <w:r w:rsidR="00AA0D1D">
        <w:t>weinige overgeleverde fragmenten van</w:t>
      </w:r>
      <w:r w:rsidR="00E81C9F">
        <w:t xml:space="preserve"> Latijnse</w:t>
      </w:r>
      <w:r w:rsidR="00AA0D1D">
        <w:t xml:space="preserve"> literaire papyri uit de klassieke periode tonen een tekst </w:t>
      </w:r>
      <w:r>
        <w:t>neergeschreven in smalle kolommen</w:t>
      </w:r>
      <w:r w:rsidR="001E6601">
        <w:t xml:space="preserve">. </w:t>
      </w:r>
      <w:r w:rsidR="004B0072">
        <w:t xml:space="preserve">(Wingo, 1972) </w:t>
      </w:r>
      <w:r w:rsidR="001E6601">
        <w:t>In de klassieke periode wordt er nog gebr</w:t>
      </w:r>
      <w:r w:rsidR="005E60BB">
        <w:t xml:space="preserve">uik gemaakt van een </w:t>
      </w:r>
      <w:r w:rsidR="005E60BB" w:rsidRPr="00C53E83">
        <w:rPr>
          <w:i/>
        </w:rPr>
        <w:t>interpunctum</w:t>
      </w:r>
      <w:r w:rsidR="001E6601">
        <w:t>, een punt boven de lijn om de afzonderlijke woorden van elkaar te onderscheiden. De teksten bevatten op dat moment ook verschillende vormen van interpunctie die ten dele overeenkomen met onze hedendaagse leestekens</w:t>
      </w:r>
      <w:r w:rsidR="001C43B3">
        <w:t>.</w:t>
      </w:r>
      <w:r w:rsidR="001E6601">
        <w:t xml:space="preserve"> </w:t>
      </w:r>
      <w:r w:rsidR="005E60BB">
        <w:t>In de loop van de 2</w:t>
      </w:r>
      <w:r w:rsidR="005E60BB" w:rsidRPr="005E60BB">
        <w:rPr>
          <w:vertAlign w:val="superscript"/>
        </w:rPr>
        <w:t>de</w:t>
      </w:r>
      <w:r w:rsidR="005E60BB">
        <w:t xml:space="preserve"> eeuw </w:t>
      </w:r>
      <w:r w:rsidR="0038312B">
        <w:t>n.C.</w:t>
      </w:r>
      <w:r w:rsidR="005E60BB">
        <w:t xml:space="preserve"> verdwijnt in de Latijnse handschriften het interpunctum en gaan de Romeinen, in navolging van de Griekse gewoonte, over op </w:t>
      </w:r>
      <w:r w:rsidR="005E60BB" w:rsidRPr="004B0072">
        <w:rPr>
          <w:i/>
        </w:rPr>
        <w:t>scriptura continua</w:t>
      </w:r>
      <w:r w:rsidR="005E60BB">
        <w:t>.</w:t>
      </w:r>
      <w:r w:rsidR="005E60BB">
        <w:rPr>
          <w:rStyle w:val="Voetnootmarkering"/>
        </w:rPr>
        <w:footnoteReference w:id="4"/>
      </w:r>
      <w:r w:rsidR="00C65D6A">
        <w:t xml:space="preserve"> </w:t>
      </w:r>
      <w:r w:rsidR="005E60BB">
        <w:t xml:space="preserve"> </w:t>
      </w:r>
    </w:p>
    <w:p w:rsidR="001E6601" w:rsidRDefault="005E60BB" w:rsidP="007C2B3D">
      <w:pPr>
        <w:jc w:val="both"/>
      </w:pPr>
      <w:r>
        <w:t>Hoe zag een boekrol eruit? De handgeschreven papyrus, horizontaal gehouden, bevatte smalle kolommen tussen de 4,5 en de 7 cm die ongeveer 15 tot 25 letters bevatten.</w:t>
      </w:r>
      <w:r w:rsidR="00EC5ACA">
        <w:t xml:space="preserve"> Het begin van een nieuwe zin werd gemarkeerd door een horizontaal streepje aan de linker kolomrand. </w:t>
      </w:r>
      <w:r w:rsidR="00C65D6A">
        <w:t>(Martin, 1990</w:t>
      </w:r>
      <w:r w:rsidR="001C43B3">
        <w:t xml:space="preserve"> en Johnson, 2004</w:t>
      </w:r>
      <w:r w:rsidR="00C65D6A">
        <w:t xml:space="preserve">) </w:t>
      </w:r>
      <w:r w:rsidR="00EC5ACA">
        <w:t xml:space="preserve">Voor een </w:t>
      </w:r>
      <w:r w:rsidR="00E81C9F">
        <w:t>moderne lezer zien</w:t>
      </w:r>
      <w:r w:rsidR="00EC5ACA">
        <w:t xml:space="preserve"> deze solide blokken tekst er </w:t>
      </w:r>
      <w:r w:rsidR="004B0072">
        <w:t xml:space="preserve">op het eerste zicht </w:t>
      </w:r>
      <w:r w:rsidR="00EC5ACA">
        <w:t xml:space="preserve">onpraktisch en </w:t>
      </w:r>
      <w:r w:rsidR="0038312B">
        <w:t>inefficiënt</w:t>
      </w:r>
      <w:r w:rsidR="004B0072">
        <w:t xml:space="preserve"> uit. Wanneer we de kolommen echter van nabij bekijken, kunnen we begrijpen waarom</w:t>
      </w:r>
      <w:r w:rsidR="00EC5ACA">
        <w:t xml:space="preserve"> de antieke lezer geen probleem had met deze</w:t>
      </w:r>
      <w:r w:rsidR="004B0072">
        <w:t xml:space="preserve"> manier van schrijven en lezen.</w:t>
      </w:r>
    </w:p>
    <w:p w:rsidR="004F0715" w:rsidRPr="00E81C9F" w:rsidRDefault="004F0715" w:rsidP="007C2B3D">
      <w:pPr>
        <w:jc w:val="both"/>
        <w:rPr>
          <w:b/>
        </w:rPr>
      </w:pPr>
      <w:r w:rsidRPr="00E81C9F">
        <w:rPr>
          <w:b/>
        </w:rPr>
        <w:lastRenderedPageBreak/>
        <w:t>Een cognitief model voor lezen</w:t>
      </w:r>
    </w:p>
    <w:p w:rsidR="009517D2" w:rsidRDefault="009B4D4A" w:rsidP="007C2B3D">
      <w:pPr>
        <w:jc w:val="both"/>
      </w:pPr>
      <w:r>
        <w:t>Wanneer we lezen loopt onze blik niet aan een constant tempo over de letters, maar maken onze ogen telkens kleine sprongen</w:t>
      </w:r>
      <w:r w:rsidR="00E81C9F">
        <w:t>,</w:t>
      </w:r>
      <w:r>
        <w:t xml:space="preserve"> “saccades” genoemd. Telkens wanneer onze blik zich fixeert kan ons parafoveaal zicht, dat zich ongeveer 6 graden naar beide zijden van het punt van focus uitstrekt, een stukje tekst zien dat geweest is en een stukje dat nog moet komen. </w:t>
      </w:r>
      <w:r w:rsidR="008A083E">
        <w:t>De</w:t>
      </w:r>
      <w:r w:rsidR="00E81C9F">
        <w:t>ze data worden verwerkt vóór de</w:t>
      </w:r>
      <w:r w:rsidR="008A083E">
        <w:t xml:space="preserve"> volgende saccadische beweging. De afstand van het parafoveale zicht (6 graden aan beide zijden van de focus) komt in moderne uitgaven overeen met ongeveer 15 tot 20 letters. Een gelijkaardig aantal letters markeert ook het stukje tekst dat je ogen voor blijven op je stem wanneer je luidop leest. Dit noemt men de “eye-voice span”. </w:t>
      </w:r>
    </w:p>
    <w:p w:rsidR="00F362CB" w:rsidRDefault="008A083E" w:rsidP="00F362CB">
      <w:pPr>
        <w:jc w:val="both"/>
      </w:pPr>
      <w:r>
        <w:t xml:space="preserve">Volgens Johnson </w:t>
      </w:r>
      <w:r w:rsidR="001C43B3">
        <w:t xml:space="preserve">(2000) </w:t>
      </w:r>
      <w:r>
        <w:t xml:space="preserve">komt zowel dit parafoveale zicht als de eye-voice span overeen met de breedte van een kolom in een antieke literaire papyrus: de kolommen bevatten telkens ongeveer 15 tot 25 tekens. </w:t>
      </w:r>
      <w:r w:rsidR="00F362CB">
        <w:t>Eén regel kon dus in één oogopslag worden opgenomen. Het begin van iedere regel was een logisch punt van focus en het “decoderen” van de letters gebeurde regel per regel.</w:t>
      </w:r>
    </w:p>
    <w:p w:rsidR="00C53E83" w:rsidRDefault="009E7F6A" w:rsidP="007C2B3D">
      <w:pPr>
        <w:jc w:val="both"/>
      </w:pPr>
      <w:r>
        <w:t>Deze smalle kolommen maken het zeer moeilijk om “voorop” te lopen in een tekst, maar maken het daar tegenov</w:t>
      </w:r>
      <w:r w:rsidR="00F362CB">
        <w:t>er makkelijker om een tekst regel per regel</w:t>
      </w:r>
      <w:r w:rsidR="004F0715">
        <w:t>, idee per</w:t>
      </w:r>
      <w:r>
        <w:t xml:space="preserve"> idee, colon per colon op te nemen</w:t>
      </w:r>
      <w:r w:rsidR="004F0715">
        <w:t>.</w:t>
      </w:r>
      <w:r>
        <w:t xml:space="preserve"> </w:t>
      </w:r>
    </w:p>
    <w:p w:rsidR="0093495F" w:rsidRPr="009E7F6A" w:rsidRDefault="0093495F" w:rsidP="007C2B3D">
      <w:pPr>
        <w:jc w:val="both"/>
        <w:rPr>
          <w:b/>
        </w:rPr>
      </w:pPr>
      <w:r w:rsidRPr="009E7F6A">
        <w:rPr>
          <w:b/>
        </w:rPr>
        <w:t>Colometrie</w:t>
      </w:r>
    </w:p>
    <w:p w:rsidR="0093495F" w:rsidRPr="007062E1" w:rsidRDefault="0093495F" w:rsidP="007C2B3D">
      <w:pPr>
        <w:jc w:val="both"/>
        <w:rPr>
          <w:lang w:val="en-US"/>
        </w:rPr>
      </w:pPr>
      <w:r>
        <w:t>Uit de studie</w:t>
      </w:r>
      <w:r w:rsidR="00467DB7">
        <w:t>s</w:t>
      </w:r>
      <w:r>
        <w:t xml:space="preserve"> van </w:t>
      </w:r>
      <w:r w:rsidR="00F362CB">
        <w:t>Frae</w:t>
      </w:r>
      <w:r w:rsidR="00467DB7">
        <w:t xml:space="preserve">nkel </w:t>
      </w:r>
      <w:r w:rsidR="008B5737">
        <w:t xml:space="preserve">(1932, </w:t>
      </w:r>
      <w:r w:rsidR="00840727">
        <w:t xml:space="preserve">1933, 1965) </w:t>
      </w:r>
      <w:r w:rsidR="00467DB7">
        <w:t xml:space="preserve">en </w:t>
      </w:r>
      <w:r>
        <w:t xml:space="preserve">Habinek </w:t>
      </w:r>
      <w:r w:rsidR="009E7F6A">
        <w:t xml:space="preserve">(1985) </w:t>
      </w:r>
      <w:r>
        <w:t>blij</w:t>
      </w:r>
      <w:r w:rsidR="00467DB7">
        <w:t>kt dat Latijnse (literaire) zinnen opgebou</w:t>
      </w:r>
      <w:r w:rsidR="00F362CB">
        <w:t>wd zijn uit kleinere onderdelen, nl.</w:t>
      </w:r>
      <w:r w:rsidR="00467DB7">
        <w:t xml:space="preserve"> </w:t>
      </w:r>
      <w:r w:rsidRPr="009E7F6A">
        <w:rPr>
          <w:i/>
        </w:rPr>
        <w:t>cola</w:t>
      </w:r>
      <w:r>
        <w:t xml:space="preserve">. </w:t>
      </w:r>
      <w:r w:rsidRPr="00F362CB">
        <w:rPr>
          <w:lang w:val="en-US"/>
        </w:rPr>
        <w:t>Een colon</w:t>
      </w:r>
      <w:r w:rsidR="00F362CB" w:rsidRPr="00F362CB">
        <w:rPr>
          <w:lang w:val="en-US"/>
        </w:rPr>
        <w:t xml:space="preserve"> </w:t>
      </w:r>
      <w:r w:rsidRPr="00F362CB">
        <w:rPr>
          <w:lang w:val="en-US"/>
        </w:rPr>
        <w:t>wordt gedefinieerd</w:t>
      </w:r>
      <w:r w:rsidRPr="007062E1">
        <w:rPr>
          <w:lang w:val="en-US"/>
        </w:rPr>
        <w:t xml:space="preserve"> als een</w:t>
      </w:r>
      <w:r w:rsidRPr="00F362CB">
        <w:rPr>
          <w:lang w:val="en-US"/>
        </w:rPr>
        <w:t xml:space="preserve"> constit</w:t>
      </w:r>
      <w:r w:rsidR="009E7F6A" w:rsidRPr="00F362CB">
        <w:rPr>
          <w:lang w:val="en-US"/>
        </w:rPr>
        <w:t>u</w:t>
      </w:r>
      <w:r w:rsidRPr="00F362CB">
        <w:rPr>
          <w:lang w:val="en-US"/>
        </w:rPr>
        <w:t>ent van een zin: “a unit that can be replaced by a single word without altering the general meaning or structu</w:t>
      </w:r>
      <w:r w:rsidR="00C64662" w:rsidRPr="00F362CB">
        <w:rPr>
          <w:lang w:val="en-US"/>
        </w:rPr>
        <w:t xml:space="preserve">re of a sentence” (Habinek, 1985). </w:t>
      </w:r>
      <w:r w:rsidR="0071150C" w:rsidRPr="007062E1">
        <w:rPr>
          <w:lang w:val="en-US"/>
        </w:rPr>
        <w:t xml:space="preserve">Habinek illustreert dit met </w:t>
      </w:r>
      <w:r w:rsidRPr="007062E1">
        <w:rPr>
          <w:lang w:val="en-US"/>
        </w:rPr>
        <w:t>een voorbeeld uit Cato</w:t>
      </w:r>
      <w:r w:rsidR="007062E1">
        <w:rPr>
          <w:lang w:val="en-US"/>
        </w:rPr>
        <w:t xml:space="preserve"> (ORF</w:t>
      </w:r>
      <w:r w:rsidR="00F362CB" w:rsidRPr="007062E1">
        <w:rPr>
          <w:lang w:val="en-US"/>
        </w:rPr>
        <w:t>.</w:t>
      </w:r>
      <w:r w:rsidR="0071150C" w:rsidRPr="007062E1">
        <w:rPr>
          <w:lang w:val="en-US"/>
        </w:rPr>
        <w:t xml:space="preserve"> 8.163):</w:t>
      </w:r>
    </w:p>
    <w:p w:rsidR="0071150C" w:rsidRPr="007062E1" w:rsidRDefault="0071150C" w:rsidP="007C2B3D">
      <w:pPr>
        <w:ind w:left="708"/>
        <w:jc w:val="both"/>
        <w:rPr>
          <w:lang w:val="en-US"/>
        </w:rPr>
      </w:pPr>
      <w:r w:rsidRPr="007062E1">
        <w:rPr>
          <w:lang w:val="en-US"/>
        </w:rPr>
        <w:t>Quo mihi nunc magnae curae est quod haec res tam secunde processit, ne quid in consulendo advorsi eveniat quod nostras secundas res confutet, neve haec laetitia nimis luxuriose eveniat.</w:t>
      </w:r>
    </w:p>
    <w:p w:rsidR="0071150C" w:rsidRPr="0071150C" w:rsidRDefault="009E7F6A" w:rsidP="007C2B3D">
      <w:pPr>
        <w:jc w:val="both"/>
      </w:pPr>
      <w:r>
        <w:t xml:space="preserve">Als we deze </w:t>
      </w:r>
      <w:r w:rsidR="00592E22">
        <w:t xml:space="preserve">zin </w:t>
      </w:r>
      <w:r>
        <w:t xml:space="preserve">syntactisch benaderen, kan ik hem beschrijven als een hoofdzin waarvan het onderwerp de vorm aanneemt van een quod-zin, </w:t>
      </w:r>
      <w:r w:rsidR="00F362CB">
        <w:t xml:space="preserve">en </w:t>
      </w:r>
      <w:r>
        <w:t>waarvan een bijwoordelijke bijzin van doel afhangt</w:t>
      </w:r>
      <w:r w:rsidR="00592E22">
        <w:t xml:space="preserve"> met</w:t>
      </w:r>
      <w:r w:rsidR="0003321A">
        <w:t xml:space="preserve"> daarin een betrekkelijke bijzin waarna een tweede bijwoordelijke bijzin van doel volgt. Ik weet nu hoe de verschillende delen van de zin zich </w:t>
      </w:r>
      <w:r w:rsidR="008B5737">
        <w:t xml:space="preserve">hiërarchisch </w:t>
      </w:r>
      <w:r w:rsidR="0003321A">
        <w:t xml:space="preserve">tot elkaar verhouden, maar dat helpt me weinig bij de lectuur. </w:t>
      </w:r>
      <w:r w:rsidR="0071150C" w:rsidRPr="0071150C">
        <w:t>Als je dit fragment per cola zo</w:t>
      </w:r>
      <w:r w:rsidR="0071150C">
        <w:t>u arrangeren krijg je volgende vijf</w:t>
      </w:r>
      <w:r w:rsidR="0071150C" w:rsidRPr="0071150C">
        <w:t xml:space="preserve"> gedachte-eenheden:</w:t>
      </w:r>
    </w:p>
    <w:p w:rsidR="0071150C" w:rsidRDefault="0071150C" w:rsidP="007C2B3D">
      <w:pPr>
        <w:spacing w:after="0"/>
        <w:ind w:left="708"/>
        <w:jc w:val="both"/>
        <w:rPr>
          <w:lang w:val="en-US"/>
        </w:rPr>
      </w:pPr>
      <w:r w:rsidRPr="0071150C">
        <w:rPr>
          <w:lang w:val="en-US"/>
        </w:rPr>
        <w:t xml:space="preserve">Quo mihi nunc magnae curae est </w:t>
      </w:r>
    </w:p>
    <w:p w:rsidR="0071150C" w:rsidRDefault="0071150C" w:rsidP="007C2B3D">
      <w:pPr>
        <w:spacing w:after="0"/>
        <w:ind w:left="708"/>
        <w:jc w:val="both"/>
        <w:rPr>
          <w:lang w:val="en-US"/>
        </w:rPr>
      </w:pPr>
      <w:r w:rsidRPr="0071150C">
        <w:rPr>
          <w:lang w:val="en-US"/>
        </w:rPr>
        <w:t xml:space="preserve">quod haec res tam secunde processit, </w:t>
      </w:r>
    </w:p>
    <w:p w:rsidR="0071150C" w:rsidRDefault="0071150C" w:rsidP="007C2B3D">
      <w:pPr>
        <w:spacing w:after="0"/>
        <w:ind w:left="708"/>
        <w:jc w:val="both"/>
        <w:rPr>
          <w:lang w:val="en-US"/>
        </w:rPr>
      </w:pPr>
      <w:r w:rsidRPr="0071150C">
        <w:rPr>
          <w:lang w:val="en-US"/>
        </w:rPr>
        <w:t>ne quid</w:t>
      </w:r>
      <w:r>
        <w:rPr>
          <w:lang w:val="en-US"/>
        </w:rPr>
        <w:t xml:space="preserve"> in consulendo advorsi eveniat </w:t>
      </w:r>
    </w:p>
    <w:p w:rsidR="0071150C" w:rsidRDefault="0071150C" w:rsidP="007C2B3D">
      <w:pPr>
        <w:spacing w:after="0"/>
        <w:ind w:left="708"/>
        <w:jc w:val="both"/>
        <w:rPr>
          <w:lang w:val="en-US"/>
        </w:rPr>
      </w:pPr>
      <w:r>
        <w:rPr>
          <w:lang w:val="en-US"/>
        </w:rPr>
        <w:t xml:space="preserve">quod nostras secundas res confutet, </w:t>
      </w:r>
    </w:p>
    <w:p w:rsidR="0071150C" w:rsidRDefault="0071150C" w:rsidP="007C2B3D">
      <w:pPr>
        <w:spacing w:after="0"/>
        <w:ind w:left="708"/>
        <w:jc w:val="both"/>
        <w:rPr>
          <w:lang w:val="en-US"/>
        </w:rPr>
      </w:pPr>
      <w:r>
        <w:rPr>
          <w:lang w:val="en-US"/>
        </w:rPr>
        <w:t>neve haec laetitia nimis luxuriose eveniat.</w:t>
      </w:r>
    </w:p>
    <w:p w:rsidR="00575E97" w:rsidRDefault="00575E97" w:rsidP="007C2B3D">
      <w:pPr>
        <w:spacing w:after="0"/>
        <w:ind w:left="708"/>
        <w:jc w:val="both"/>
        <w:rPr>
          <w:lang w:val="en-US"/>
        </w:rPr>
      </w:pPr>
    </w:p>
    <w:p w:rsidR="0071150C" w:rsidRPr="00575E97" w:rsidRDefault="0003321A" w:rsidP="007C2B3D">
      <w:pPr>
        <w:jc w:val="both"/>
      </w:pPr>
      <w:r w:rsidRPr="0003321A">
        <w:t>Meteen valt op dat d</w:t>
      </w:r>
      <w:r w:rsidR="0071150C" w:rsidRPr="00575E97">
        <w:t xml:space="preserve">e vijf </w:t>
      </w:r>
      <w:r w:rsidR="00575E97" w:rsidRPr="00575E97">
        <w:t>elementen van de zin</w:t>
      </w:r>
      <w:r>
        <w:t xml:space="preserve"> (in dit geval 5 zinnen) </w:t>
      </w:r>
      <w:r w:rsidR="00575E97" w:rsidRPr="00575E97">
        <w:t>allen ongeveer dezelfde lengte</w:t>
      </w:r>
      <w:r>
        <w:t xml:space="preserve"> hebben</w:t>
      </w:r>
      <w:r w:rsidR="00575E97" w:rsidRPr="00575E97">
        <w:t xml:space="preserve">, ca. </w:t>
      </w:r>
      <w:r w:rsidR="00575E97">
        <w:t>25 tekens</w:t>
      </w:r>
      <w:r>
        <w:t>,</w:t>
      </w:r>
      <w:r w:rsidR="009E7F6A">
        <w:t xml:space="preserve"> die telkens in één oogopslag, één saccadische beweging, kunnen worden gezien</w:t>
      </w:r>
      <w:r w:rsidR="00575E97">
        <w:t xml:space="preserve">. Op deze manier wordt een afwisseling van ne- en quod-zinnen duidelijk en de parallelle </w:t>
      </w:r>
      <w:r w:rsidR="00575E97">
        <w:lastRenderedPageBreak/>
        <w:t>structuur van zin 2 e</w:t>
      </w:r>
      <w:r w:rsidR="009E7F6A">
        <w:t>n 5</w:t>
      </w:r>
      <w:r w:rsidR="00182188">
        <w:t>, ongeacht hun verschil in functie en inhoud</w:t>
      </w:r>
      <w:r w:rsidR="009E7F6A">
        <w:t>. Ieder element bevat één afg</w:t>
      </w:r>
      <w:r w:rsidR="00575E97">
        <w:t xml:space="preserve">eronde gedachte waarop de volgende logischerwijs verder gaat. </w:t>
      </w:r>
    </w:p>
    <w:p w:rsidR="0093495F" w:rsidRPr="00EC3264" w:rsidRDefault="0093495F" w:rsidP="007C2B3D">
      <w:pPr>
        <w:jc w:val="both"/>
        <w:rPr>
          <w:lang w:val="en-US"/>
        </w:rPr>
      </w:pPr>
      <w:r w:rsidRPr="00575E97">
        <w:t>W</w:t>
      </w:r>
      <w:r w:rsidR="00575E97" w:rsidRPr="00575E97">
        <w:t>e namen de proef op d</w:t>
      </w:r>
      <w:r w:rsidR="00F57465">
        <w:t>e som met een willekeurige zin uit</w:t>
      </w:r>
      <w:r w:rsidR="00575E97" w:rsidRPr="00575E97">
        <w:t xml:space="preserve"> </w:t>
      </w:r>
      <w:r w:rsidRPr="00575E97">
        <w:t>Caesar</w:t>
      </w:r>
      <w:r w:rsidR="00F57465">
        <w:t>. Wanneer je de zin</w:t>
      </w:r>
      <w:r w:rsidRPr="00575E97">
        <w:t xml:space="preserve"> </w:t>
      </w:r>
      <w:r w:rsidR="00575E97" w:rsidRPr="00575E97">
        <w:t>indeelt in constituenten, bevatten deze</w:t>
      </w:r>
      <w:r w:rsidRPr="00575E97">
        <w:t xml:space="preserve"> bijna st</w:t>
      </w:r>
      <w:r w:rsidR="00575E97" w:rsidRPr="00575E97">
        <w:t>eeds ongeveer 15 tot 25 letters.</w:t>
      </w:r>
      <w:r w:rsidRPr="00575E97">
        <w:t xml:space="preserve"> </w:t>
      </w:r>
      <w:r w:rsidRPr="00EC3264">
        <w:rPr>
          <w:lang w:val="en-US"/>
        </w:rPr>
        <w:t>Vb. BG VI, 14</w:t>
      </w:r>
    </w:p>
    <w:p w:rsidR="0093495F" w:rsidRPr="00EC3264" w:rsidRDefault="0093495F" w:rsidP="007C2B3D">
      <w:pPr>
        <w:pStyle w:val="Normaalweb"/>
        <w:spacing w:before="0" w:beforeAutospacing="0" w:after="0" w:afterAutospacing="0"/>
        <w:jc w:val="both"/>
        <w:rPr>
          <w:rFonts w:asciiTheme="minorHAnsi" w:hAnsiTheme="minorHAnsi"/>
          <w:sz w:val="22"/>
          <w:szCs w:val="22"/>
          <w:lang w:val="en-US"/>
        </w:rPr>
      </w:pPr>
      <w:r w:rsidRPr="00EC3264">
        <w:rPr>
          <w:rFonts w:asciiTheme="minorHAnsi" w:hAnsiTheme="minorHAnsi"/>
          <w:sz w:val="22"/>
          <w:szCs w:val="22"/>
          <w:lang w:val="en-US"/>
        </w:rPr>
        <w:t xml:space="preserve">Neque fas esse existimant </w:t>
      </w:r>
    </w:p>
    <w:p w:rsidR="0093495F" w:rsidRPr="00EC3264" w:rsidRDefault="0093495F" w:rsidP="007C2B3D">
      <w:pPr>
        <w:pStyle w:val="Normaalweb"/>
        <w:spacing w:before="0" w:beforeAutospacing="0" w:after="0" w:afterAutospacing="0"/>
        <w:jc w:val="both"/>
        <w:rPr>
          <w:rFonts w:asciiTheme="minorHAnsi" w:hAnsiTheme="minorHAnsi"/>
          <w:sz w:val="22"/>
          <w:szCs w:val="22"/>
          <w:lang w:val="en-US"/>
        </w:rPr>
      </w:pPr>
      <w:r w:rsidRPr="00EC3264">
        <w:rPr>
          <w:rFonts w:asciiTheme="minorHAnsi" w:hAnsiTheme="minorHAnsi"/>
          <w:sz w:val="22"/>
          <w:szCs w:val="22"/>
          <w:lang w:val="en-US"/>
        </w:rPr>
        <w:t xml:space="preserve">ea litteris mandare, </w:t>
      </w:r>
    </w:p>
    <w:p w:rsidR="0093495F" w:rsidRPr="00EC3264" w:rsidRDefault="0093495F" w:rsidP="007C2B3D">
      <w:pPr>
        <w:pStyle w:val="Normaalweb"/>
        <w:spacing w:before="0" w:beforeAutospacing="0" w:after="0" w:afterAutospacing="0"/>
        <w:jc w:val="both"/>
        <w:rPr>
          <w:rFonts w:asciiTheme="minorHAnsi" w:hAnsiTheme="minorHAnsi"/>
          <w:sz w:val="22"/>
          <w:szCs w:val="22"/>
          <w:lang w:val="en-US"/>
        </w:rPr>
      </w:pPr>
      <w:r w:rsidRPr="00EC3264">
        <w:rPr>
          <w:rFonts w:asciiTheme="minorHAnsi" w:hAnsiTheme="minorHAnsi"/>
          <w:sz w:val="22"/>
          <w:szCs w:val="22"/>
          <w:lang w:val="en-US"/>
        </w:rPr>
        <w:t xml:space="preserve">cum in reliquis fere rebus, </w:t>
      </w:r>
    </w:p>
    <w:p w:rsidR="0093495F" w:rsidRPr="00EC3264" w:rsidRDefault="0093495F" w:rsidP="007C2B3D">
      <w:pPr>
        <w:pStyle w:val="Normaalweb"/>
        <w:spacing w:before="0" w:beforeAutospacing="0" w:after="0" w:afterAutospacing="0"/>
        <w:jc w:val="both"/>
        <w:rPr>
          <w:rFonts w:asciiTheme="minorHAnsi" w:hAnsiTheme="minorHAnsi"/>
          <w:sz w:val="22"/>
          <w:szCs w:val="22"/>
          <w:lang w:val="en-US"/>
        </w:rPr>
      </w:pPr>
      <w:r w:rsidRPr="00EC3264">
        <w:rPr>
          <w:rFonts w:asciiTheme="minorHAnsi" w:hAnsiTheme="minorHAnsi"/>
          <w:sz w:val="22"/>
          <w:szCs w:val="22"/>
          <w:lang w:val="en-US"/>
        </w:rPr>
        <w:t xml:space="preserve">publicis privatisque rationibus </w:t>
      </w:r>
    </w:p>
    <w:p w:rsidR="0093495F" w:rsidRPr="00575E97" w:rsidRDefault="0093495F" w:rsidP="007C2B3D">
      <w:pPr>
        <w:pStyle w:val="Normaalweb"/>
        <w:spacing w:before="0" w:beforeAutospacing="0" w:after="0" w:afterAutospacing="0"/>
        <w:jc w:val="both"/>
        <w:rPr>
          <w:rFonts w:asciiTheme="minorHAnsi" w:hAnsiTheme="minorHAnsi"/>
          <w:sz w:val="22"/>
          <w:szCs w:val="22"/>
          <w:lang w:val="en-US"/>
        </w:rPr>
      </w:pPr>
      <w:r w:rsidRPr="00EC3264">
        <w:rPr>
          <w:rFonts w:asciiTheme="minorHAnsi" w:hAnsiTheme="minorHAnsi"/>
          <w:sz w:val="22"/>
          <w:szCs w:val="22"/>
          <w:lang w:val="en-US"/>
        </w:rPr>
        <w:t xml:space="preserve">Graecis litteris </w:t>
      </w:r>
      <w:r w:rsidRPr="00575E97">
        <w:rPr>
          <w:rFonts w:asciiTheme="minorHAnsi" w:hAnsiTheme="minorHAnsi"/>
          <w:sz w:val="22"/>
          <w:szCs w:val="22"/>
          <w:lang w:val="en-US"/>
        </w:rPr>
        <w:t xml:space="preserve">utantur. </w:t>
      </w:r>
    </w:p>
    <w:p w:rsidR="00F57465" w:rsidRPr="00F57465" w:rsidRDefault="00575E97" w:rsidP="007C2B3D">
      <w:pPr>
        <w:pStyle w:val="Normaalweb"/>
        <w:jc w:val="both"/>
        <w:rPr>
          <w:rFonts w:asciiTheme="minorHAnsi" w:hAnsiTheme="minorHAnsi"/>
          <w:sz w:val="22"/>
          <w:szCs w:val="22"/>
        </w:rPr>
      </w:pPr>
      <w:r w:rsidRPr="00F57465">
        <w:rPr>
          <w:rFonts w:asciiTheme="minorHAnsi" w:hAnsiTheme="minorHAnsi"/>
          <w:sz w:val="22"/>
          <w:szCs w:val="22"/>
        </w:rPr>
        <w:t>Al deze constituenten</w:t>
      </w:r>
      <w:r w:rsidR="0093495F" w:rsidRPr="00F57465">
        <w:rPr>
          <w:rFonts w:asciiTheme="minorHAnsi" w:hAnsiTheme="minorHAnsi"/>
          <w:sz w:val="22"/>
          <w:szCs w:val="22"/>
        </w:rPr>
        <w:t xml:space="preserve"> bevatten één idee. Op deze manier is het begrijpelijk dat een lezende Romein, ook bij </w:t>
      </w:r>
      <w:r w:rsidR="0093495F" w:rsidRPr="00F57465">
        <w:rPr>
          <w:rFonts w:asciiTheme="minorHAnsi" w:hAnsiTheme="minorHAnsi"/>
          <w:i/>
          <w:sz w:val="22"/>
          <w:szCs w:val="22"/>
        </w:rPr>
        <w:t>scriptura continua</w:t>
      </w:r>
      <w:r w:rsidR="0003321A" w:rsidRPr="00F57465">
        <w:rPr>
          <w:rFonts w:asciiTheme="minorHAnsi" w:hAnsiTheme="minorHAnsi"/>
          <w:sz w:val="22"/>
          <w:szCs w:val="22"/>
        </w:rPr>
        <w:t>,</w:t>
      </w:r>
      <w:r w:rsidR="0093495F" w:rsidRPr="00F57465">
        <w:rPr>
          <w:rFonts w:asciiTheme="minorHAnsi" w:hAnsiTheme="minorHAnsi"/>
          <w:sz w:val="22"/>
          <w:szCs w:val="22"/>
        </w:rPr>
        <w:t xml:space="preserve"> de ideeën één voor één kon verwerken bij lectuur.</w:t>
      </w:r>
      <w:r w:rsidR="00F57465" w:rsidRPr="00F57465">
        <w:rPr>
          <w:rFonts w:asciiTheme="minorHAnsi" w:hAnsiTheme="minorHAnsi"/>
          <w:sz w:val="22"/>
          <w:szCs w:val="22"/>
        </w:rPr>
        <w:t xml:space="preserve"> B</w:t>
      </w:r>
      <w:r w:rsidR="00182188" w:rsidRPr="00F57465">
        <w:rPr>
          <w:rFonts w:asciiTheme="minorHAnsi" w:hAnsiTheme="minorHAnsi"/>
          <w:sz w:val="22"/>
          <w:szCs w:val="22"/>
        </w:rPr>
        <w:t>ij</w:t>
      </w:r>
      <w:r w:rsidR="00F201DD" w:rsidRPr="00F57465">
        <w:rPr>
          <w:rFonts w:asciiTheme="minorHAnsi" w:hAnsiTheme="minorHAnsi"/>
          <w:sz w:val="22"/>
          <w:szCs w:val="22"/>
        </w:rPr>
        <w:t xml:space="preserve"> deze manier</w:t>
      </w:r>
      <w:r w:rsidR="00182188" w:rsidRPr="00F57465">
        <w:rPr>
          <w:rFonts w:asciiTheme="minorHAnsi" w:hAnsiTheme="minorHAnsi"/>
          <w:sz w:val="22"/>
          <w:szCs w:val="22"/>
        </w:rPr>
        <w:t xml:space="preserve"> van schrijven en lezen</w:t>
      </w:r>
      <w:r w:rsidR="00F201DD" w:rsidRPr="00F57465">
        <w:rPr>
          <w:rFonts w:asciiTheme="minorHAnsi" w:hAnsiTheme="minorHAnsi"/>
          <w:sz w:val="22"/>
          <w:szCs w:val="22"/>
        </w:rPr>
        <w:t xml:space="preserve"> is </w:t>
      </w:r>
      <w:r w:rsidR="00F57465" w:rsidRPr="00F57465">
        <w:rPr>
          <w:rFonts w:asciiTheme="minorHAnsi" w:hAnsiTheme="minorHAnsi"/>
          <w:sz w:val="22"/>
          <w:szCs w:val="22"/>
        </w:rPr>
        <w:t>“</w:t>
      </w:r>
      <w:r w:rsidR="00F201DD" w:rsidRPr="00F57465">
        <w:rPr>
          <w:rFonts w:asciiTheme="minorHAnsi" w:hAnsiTheme="minorHAnsi"/>
          <w:sz w:val="22"/>
          <w:szCs w:val="22"/>
        </w:rPr>
        <w:t>springe</w:t>
      </w:r>
      <w:r w:rsidR="00F57465" w:rsidRPr="00F57465">
        <w:rPr>
          <w:rFonts w:asciiTheme="minorHAnsi" w:hAnsiTheme="minorHAnsi"/>
          <w:sz w:val="22"/>
          <w:szCs w:val="22"/>
        </w:rPr>
        <w:t>n” niet alleen overbodig maar zelfs</w:t>
      </w:r>
      <w:r w:rsidR="00F201DD" w:rsidRPr="00F57465">
        <w:rPr>
          <w:rFonts w:asciiTheme="minorHAnsi" w:hAnsiTheme="minorHAnsi"/>
          <w:sz w:val="22"/>
          <w:szCs w:val="22"/>
        </w:rPr>
        <w:t xml:space="preserve"> onmogelijk.</w:t>
      </w:r>
    </w:p>
    <w:p w:rsidR="0093495F" w:rsidRPr="00575E97" w:rsidRDefault="0093495F" w:rsidP="007C2B3D">
      <w:pPr>
        <w:jc w:val="both"/>
        <w:rPr>
          <w:b/>
        </w:rPr>
      </w:pPr>
      <w:r w:rsidRPr="00575E97">
        <w:rPr>
          <w:b/>
        </w:rPr>
        <w:t>Tekst lay-out</w:t>
      </w:r>
    </w:p>
    <w:p w:rsidR="00467DB7" w:rsidRDefault="0093495F" w:rsidP="007C2B3D">
      <w:pPr>
        <w:jc w:val="both"/>
      </w:pPr>
      <w:r>
        <w:t>Wat leert dat ons</w:t>
      </w:r>
      <w:r w:rsidR="00F57465">
        <w:t xml:space="preserve"> voor onze eigen tekst lay-out? </w:t>
      </w:r>
      <w:r w:rsidR="00F201DD">
        <w:t xml:space="preserve">In de Verenigde Staten experimenteert prof. Harrison </w:t>
      </w:r>
      <w:r w:rsidR="00EC1FB9">
        <w:t xml:space="preserve">(2007) </w:t>
      </w:r>
      <w:r w:rsidR="00F201DD">
        <w:t>met het aanbieden van teksten aan haar studenten in een lay-ou</w:t>
      </w:r>
      <w:r w:rsidR="00F57465">
        <w:t xml:space="preserve">t die gebaseerd is op </w:t>
      </w:r>
      <w:r w:rsidR="00F57465" w:rsidRPr="00F57465">
        <w:rPr>
          <w:i/>
        </w:rPr>
        <w:t>cola</w:t>
      </w:r>
      <w:r w:rsidR="00F201DD">
        <w:t>. Het indele</w:t>
      </w:r>
      <w:r w:rsidR="00F57465">
        <w:t>n van een lange zin volgens</w:t>
      </w:r>
      <w:r w:rsidR="00F201DD">
        <w:t xml:space="preserve"> “sense-units” geeft een duidelijk voordeel bij het begrijpen van wat je leest. Dit wordt ook voor moderne talen bevestigd. </w:t>
      </w:r>
      <w:r w:rsidR="00467DB7">
        <w:t xml:space="preserve">De verdeling van de tekst over de regels in zinvolle eenheden (cola) helpt de studenten om te zien welke woorden wel en niet bij elkaar horen en hoe een volgend stukje tekst het idee en de betekenis van de zin verder ontrolt en uitbouwt. </w:t>
      </w:r>
    </w:p>
    <w:p w:rsidR="00590663" w:rsidRDefault="00EC1FB9" w:rsidP="007C2B3D">
      <w:pPr>
        <w:jc w:val="both"/>
      </w:pPr>
      <w:r>
        <w:t xml:space="preserve">Het idee dat een indeling in </w:t>
      </w:r>
      <w:r w:rsidRPr="00EC1FB9">
        <w:rPr>
          <w:i/>
        </w:rPr>
        <w:t>cola</w:t>
      </w:r>
      <w:r>
        <w:t xml:space="preserve"> de lezer kan helpen, blijkt al heel oud. </w:t>
      </w:r>
      <w:r w:rsidR="00924CE9">
        <w:t>Hiëronymus</w:t>
      </w:r>
      <w:r w:rsidR="00590663">
        <w:t xml:space="preserve"> gebruikte in zijn nieuwe vertaling van Isaiah een methode om de tekst te verdelen over de regels per woordgroep of bijzin.</w:t>
      </w:r>
    </w:p>
    <w:p w:rsidR="00590663" w:rsidRPr="00590663" w:rsidRDefault="00590663" w:rsidP="007C2B3D">
      <w:pPr>
        <w:jc w:val="both"/>
        <w:rPr>
          <w:lang w:val="en-US"/>
        </w:rPr>
      </w:pPr>
      <w:r w:rsidRPr="00590663">
        <w:rPr>
          <w:lang w:val="en-US"/>
        </w:rPr>
        <w:t>“</w:t>
      </w:r>
      <w:r w:rsidRPr="00590663">
        <w:rPr>
          <w:i/>
          <w:lang w:val="en-US"/>
        </w:rPr>
        <w:t>Nemo cum Prophetas versibus viderit esse descriptos metro eos aestimet apud Hebraeos ligari, et aliquid simile habere de Psalmis, vel operibus Salomonis; sed quod in Demosthene et Tullio solet fieri, ut per cola scribantur et commata, qui utique prosa, et non versibus conscripserunt: nos quoque utilitati legentium providentes, interpretationem novam, novo scribendi genere distinximus</w:t>
      </w:r>
      <w:r w:rsidRPr="00590663">
        <w:rPr>
          <w:lang w:val="en-US"/>
        </w:rPr>
        <w:t>.</w:t>
      </w:r>
      <w:r>
        <w:rPr>
          <w:lang w:val="en-US"/>
        </w:rPr>
        <w:t>”</w:t>
      </w:r>
      <w:r w:rsidR="00EC1FB9">
        <w:rPr>
          <w:rStyle w:val="Voetnootmarkering"/>
          <w:lang w:val="en-US"/>
        </w:rPr>
        <w:footnoteReference w:id="5"/>
      </w:r>
    </w:p>
    <w:p w:rsidR="00590663" w:rsidRPr="003671CA" w:rsidRDefault="00924CE9" w:rsidP="007C2B3D">
      <w:pPr>
        <w:jc w:val="both"/>
      </w:pPr>
      <w:r w:rsidRPr="00590663">
        <w:t>Hiëronymus</w:t>
      </w:r>
      <w:r w:rsidR="00590663" w:rsidRPr="00590663">
        <w:t xml:space="preserve"> deed dit </w:t>
      </w:r>
      <w:r w:rsidR="00590663" w:rsidRPr="00590663">
        <w:rPr>
          <w:i/>
        </w:rPr>
        <w:t>utilitate legentium</w:t>
      </w:r>
      <w:r w:rsidR="00590663" w:rsidRPr="00590663">
        <w:t xml:space="preserve">: om zijn lezers te helpen. </w:t>
      </w:r>
      <w:r w:rsidR="003671CA">
        <w:t xml:space="preserve">Indien antieke en </w:t>
      </w:r>
      <w:r>
        <w:t>laatantieke</w:t>
      </w:r>
      <w:r w:rsidR="00C53E83">
        <w:t xml:space="preserve"> lezers bij het lezen geholpen werden door een indeling van de tekst</w:t>
      </w:r>
      <w:r w:rsidR="003671CA">
        <w:t xml:space="preserve"> in </w:t>
      </w:r>
      <w:r w:rsidR="003671CA" w:rsidRPr="00EC1FB9">
        <w:rPr>
          <w:i/>
        </w:rPr>
        <w:t>cola</w:t>
      </w:r>
      <w:r w:rsidR="003671CA">
        <w:t>, in sens-units, in semantische eenheden, waarom zouden wij dan onze leerlingen deze hulp ontzeggen? Een oproep die reeds in 1979 door</w:t>
      </w:r>
      <w:r w:rsidR="00590663" w:rsidRPr="003671CA">
        <w:t xml:space="preserve"> Ch</w:t>
      </w:r>
      <w:r w:rsidR="003671CA">
        <w:t>arles Robbins werd gedaan:</w:t>
      </w:r>
    </w:p>
    <w:p w:rsidR="003671CA" w:rsidRDefault="00C53E83" w:rsidP="007C2B3D">
      <w:pPr>
        <w:jc w:val="both"/>
        <w:rPr>
          <w:lang w:val="en-US"/>
        </w:rPr>
      </w:pPr>
      <w:r>
        <w:rPr>
          <w:lang w:val="en-US"/>
        </w:rPr>
        <w:t>“</w:t>
      </w:r>
      <w:r w:rsidR="00590663" w:rsidRPr="003671CA">
        <w:rPr>
          <w:i/>
          <w:lang w:val="en-US"/>
        </w:rPr>
        <w:t xml:space="preserve">This kind of </w:t>
      </w:r>
      <w:r w:rsidR="003671CA" w:rsidRPr="003671CA">
        <w:rPr>
          <w:i/>
          <w:lang w:val="en-US"/>
        </w:rPr>
        <w:t xml:space="preserve">colometric arrangement can be made, in varying degrees, with all the classical prose writers – and ought to be made. It would be doing Vergil and Shakespeare a grave injustice if we were to print their lines in a </w:t>
      </w:r>
      <w:r w:rsidR="00924CE9" w:rsidRPr="003671CA">
        <w:rPr>
          <w:i/>
          <w:lang w:val="en-US"/>
        </w:rPr>
        <w:t>continuous</w:t>
      </w:r>
      <w:r w:rsidR="003671CA" w:rsidRPr="003671CA">
        <w:rPr>
          <w:i/>
          <w:lang w:val="en-US"/>
        </w:rPr>
        <w:t xml:space="preserve"> fashion without regard to verses. It is equally an injustice to classical prose writers to print them straight out, using only grammatical punctuation, in disregard of the carefully composed cola and periods. What a tremendous help it would be to students in learning and to teachers and scholars in explaining classics if we were to write them out, in Saint Jerome’s words, per cola and commata</w:t>
      </w:r>
      <w:r w:rsidR="00D578ED">
        <w:rPr>
          <w:lang w:val="en-US"/>
        </w:rPr>
        <w:t>.”(Robins, 1979)</w:t>
      </w:r>
    </w:p>
    <w:p w:rsidR="00D578ED" w:rsidRDefault="00C53E83" w:rsidP="007C2B3D">
      <w:pPr>
        <w:jc w:val="both"/>
      </w:pPr>
      <w:r>
        <w:rPr>
          <w:lang w:val="en-US"/>
        </w:rPr>
        <w:lastRenderedPageBreak/>
        <w:t>O</w:t>
      </w:r>
      <w:r w:rsidR="003671CA">
        <w:rPr>
          <w:lang w:val="en-US"/>
        </w:rPr>
        <w:t>ok professor Har</w:t>
      </w:r>
      <w:r w:rsidR="002A6C37">
        <w:rPr>
          <w:lang w:val="en-US"/>
        </w:rPr>
        <w:t xml:space="preserve">rison getuigt van de voldoening die zij en haar studenten uit deze manier van werken halen: </w:t>
      </w:r>
      <w:r w:rsidR="00467DB7" w:rsidRPr="00467DB7">
        <w:rPr>
          <w:lang w:val="en-US"/>
        </w:rPr>
        <w:t>“</w:t>
      </w:r>
      <w:r w:rsidR="00467DB7" w:rsidRPr="002A6C37">
        <w:rPr>
          <w:i/>
          <w:lang w:val="en-US"/>
        </w:rPr>
        <w:t xml:space="preserve">The system has been very popular with my students, increasing their confidence, as </w:t>
      </w:r>
      <w:r w:rsidR="00924CE9" w:rsidRPr="002A6C37">
        <w:rPr>
          <w:i/>
          <w:lang w:val="en-US"/>
        </w:rPr>
        <w:t>well</w:t>
      </w:r>
      <w:r w:rsidR="00467DB7" w:rsidRPr="002A6C37">
        <w:rPr>
          <w:i/>
          <w:lang w:val="en-US"/>
        </w:rPr>
        <w:t xml:space="preserve"> as their reading speed and ability</w:t>
      </w:r>
      <w:r w:rsidR="00467DB7" w:rsidRPr="00467DB7">
        <w:rPr>
          <w:lang w:val="en-US"/>
        </w:rPr>
        <w:t xml:space="preserve">.” </w:t>
      </w:r>
      <w:r w:rsidR="00D578ED">
        <w:t>(Harrison</w:t>
      </w:r>
      <w:r>
        <w:t>,</w:t>
      </w:r>
      <w:r w:rsidR="00D578ED">
        <w:t xml:space="preserve"> 2007) </w:t>
      </w:r>
    </w:p>
    <w:p w:rsidR="00575E97" w:rsidRDefault="00575E97" w:rsidP="007C2B3D">
      <w:pPr>
        <w:jc w:val="both"/>
      </w:pPr>
      <w:r>
        <w:t>Professor Harrison gebruikt een systeem waarbij de verschillende woordgroepen of zinnen telkens op een vol</w:t>
      </w:r>
      <w:r w:rsidR="00D578ED">
        <w:t>gende regel worden geplaatst en waarbij</w:t>
      </w:r>
      <w:r>
        <w:t xml:space="preserve"> de relatie tus</w:t>
      </w:r>
      <w:r w:rsidR="0003321A">
        <w:t>sen de verschillende zinsdelen</w:t>
      </w:r>
      <w:r>
        <w:t xml:space="preserve"> </w:t>
      </w:r>
      <w:r w:rsidR="00D578ED">
        <w:t>duidelijk gemaakt wordt door in te springen</w:t>
      </w:r>
      <w:r>
        <w:t>.</w:t>
      </w:r>
      <w:r w:rsidR="00D578ED">
        <w:rPr>
          <w:rStyle w:val="Voetnootmarkering"/>
        </w:rPr>
        <w:footnoteReference w:id="6"/>
      </w:r>
      <w:r>
        <w:t xml:space="preserve"> Het stukje Cato zou er dan als volgt uit zien:</w:t>
      </w:r>
    </w:p>
    <w:p w:rsidR="00575E97" w:rsidRPr="007062E1" w:rsidRDefault="00575E97" w:rsidP="007C2B3D">
      <w:pPr>
        <w:spacing w:after="0"/>
        <w:jc w:val="both"/>
        <w:rPr>
          <w:lang w:val="en-US"/>
        </w:rPr>
      </w:pPr>
      <w:r w:rsidRPr="007062E1">
        <w:rPr>
          <w:lang w:val="en-US"/>
        </w:rPr>
        <w:t xml:space="preserve">Quo mihi nunc magnae curae est </w:t>
      </w:r>
    </w:p>
    <w:p w:rsidR="00575E97" w:rsidRDefault="00575E97" w:rsidP="007C2B3D">
      <w:pPr>
        <w:spacing w:after="0"/>
        <w:ind w:firstLine="708"/>
        <w:jc w:val="both"/>
        <w:rPr>
          <w:lang w:val="en-US"/>
        </w:rPr>
      </w:pPr>
      <w:r w:rsidRPr="007062E1">
        <w:rPr>
          <w:lang w:val="en-US"/>
        </w:rPr>
        <w:t>quod haec res tam se</w:t>
      </w:r>
      <w:r w:rsidRPr="0071150C">
        <w:rPr>
          <w:lang w:val="en-US"/>
        </w:rPr>
        <w:t xml:space="preserve">cunde processit, </w:t>
      </w:r>
    </w:p>
    <w:p w:rsidR="00575E97" w:rsidRDefault="00575E97" w:rsidP="007C2B3D">
      <w:pPr>
        <w:spacing w:after="0"/>
        <w:ind w:left="708" w:firstLine="708"/>
        <w:jc w:val="both"/>
        <w:rPr>
          <w:lang w:val="en-US"/>
        </w:rPr>
      </w:pPr>
      <w:r w:rsidRPr="0071150C">
        <w:rPr>
          <w:lang w:val="en-US"/>
        </w:rPr>
        <w:t>ne quid</w:t>
      </w:r>
      <w:r>
        <w:rPr>
          <w:lang w:val="en-US"/>
        </w:rPr>
        <w:t xml:space="preserve"> in consulendo advorsi eveniat </w:t>
      </w:r>
    </w:p>
    <w:p w:rsidR="00575E97" w:rsidRDefault="00575E97" w:rsidP="007C2B3D">
      <w:pPr>
        <w:spacing w:after="0"/>
        <w:ind w:left="1416" w:firstLine="708"/>
        <w:jc w:val="both"/>
        <w:rPr>
          <w:lang w:val="en-US"/>
        </w:rPr>
      </w:pPr>
      <w:r>
        <w:rPr>
          <w:lang w:val="en-US"/>
        </w:rPr>
        <w:t xml:space="preserve">quod nostras secundas res confutet, </w:t>
      </w:r>
    </w:p>
    <w:p w:rsidR="00575E97" w:rsidRDefault="00575E97" w:rsidP="007C2B3D">
      <w:pPr>
        <w:spacing w:after="0"/>
        <w:ind w:left="708" w:firstLine="708"/>
        <w:jc w:val="both"/>
        <w:rPr>
          <w:lang w:val="en-US"/>
        </w:rPr>
      </w:pPr>
      <w:r>
        <w:rPr>
          <w:lang w:val="en-US"/>
        </w:rPr>
        <w:t>neve haec laetitia nimis luxuriose eveniat.</w:t>
      </w:r>
    </w:p>
    <w:p w:rsidR="00575E97" w:rsidRDefault="00575E97" w:rsidP="007C2B3D">
      <w:pPr>
        <w:spacing w:after="0"/>
        <w:jc w:val="both"/>
        <w:rPr>
          <w:lang w:val="en-US"/>
        </w:rPr>
      </w:pPr>
    </w:p>
    <w:p w:rsidR="00575E97" w:rsidRDefault="007E5A49" w:rsidP="007C2B3D">
      <w:pPr>
        <w:spacing w:after="0"/>
        <w:jc w:val="both"/>
      </w:pPr>
      <w:r w:rsidRPr="007E5A49">
        <w:t xml:space="preserve">Het inspringen mag dan misschien de gradaties in de </w:t>
      </w:r>
      <w:r>
        <w:t>onderschikking visualiseren, de lay-out</w:t>
      </w:r>
      <w:r w:rsidRPr="007E5A49">
        <w:t xml:space="preserve"> bemoeilijkt het lezen</w:t>
      </w:r>
      <w:r w:rsidR="00DD5382">
        <w:t xml:space="preserve"> omdat ik in de problemen</w:t>
      </w:r>
      <w:r>
        <w:t xml:space="preserve"> kom met mijn parafoveaal zicht, dat zich ook naar boven en onder</w:t>
      </w:r>
      <w:r w:rsidR="00DD5382">
        <w:t xml:space="preserve"> mijn focus uitstrekt en verward</w:t>
      </w:r>
      <w:r>
        <w:t xml:space="preserve"> wordt door de witruimtes</w:t>
      </w:r>
      <w:r w:rsidRPr="007E5A49">
        <w:t>.</w:t>
      </w:r>
      <w:r>
        <w:t xml:space="preserve"> Bovendien lazen Romeinen de tekst met de verschillende constituenten ónder elkaar, waardoor </w:t>
      </w:r>
      <w:r w:rsidR="00D578ED">
        <w:t xml:space="preserve">eerder </w:t>
      </w:r>
      <w:r>
        <w:t xml:space="preserve">een opeenvolging van paratactische semantische eenheden ontstaat. De hypotactische relatie tussen de constituenten is grammaticaal misschien interessant, maar overbodig, misschien zelfs remmend, voor het tekstbegrip. </w:t>
      </w:r>
      <w:r w:rsidR="00D578ED">
        <w:t>Vergelijk zelf bovenstaande en onderstaande tekst.</w:t>
      </w:r>
    </w:p>
    <w:p w:rsidR="007E5A49" w:rsidRDefault="007E5A49" w:rsidP="007C2B3D">
      <w:pPr>
        <w:spacing w:after="0"/>
        <w:jc w:val="both"/>
      </w:pPr>
    </w:p>
    <w:p w:rsidR="007E5A49" w:rsidRPr="007062E1" w:rsidRDefault="007E5A49" w:rsidP="007C2B3D">
      <w:pPr>
        <w:spacing w:after="0"/>
        <w:ind w:left="708"/>
        <w:jc w:val="both"/>
      </w:pPr>
      <w:r w:rsidRPr="007062E1">
        <w:t xml:space="preserve">Quo mihi nunc magnae curae est </w:t>
      </w:r>
    </w:p>
    <w:p w:rsidR="007E5A49" w:rsidRDefault="007E5A49" w:rsidP="007C2B3D">
      <w:pPr>
        <w:spacing w:after="0"/>
        <w:ind w:left="708"/>
        <w:jc w:val="both"/>
        <w:rPr>
          <w:lang w:val="en-US"/>
        </w:rPr>
      </w:pPr>
      <w:r w:rsidRPr="0071150C">
        <w:rPr>
          <w:lang w:val="en-US"/>
        </w:rPr>
        <w:t xml:space="preserve">quod haec res tam secunde processit, </w:t>
      </w:r>
    </w:p>
    <w:p w:rsidR="007E5A49" w:rsidRDefault="007E5A49" w:rsidP="007C2B3D">
      <w:pPr>
        <w:spacing w:after="0"/>
        <w:ind w:left="708"/>
        <w:jc w:val="both"/>
        <w:rPr>
          <w:lang w:val="en-US"/>
        </w:rPr>
      </w:pPr>
      <w:r w:rsidRPr="0071150C">
        <w:rPr>
          <w:lang w:val="en-US"/>
        </w:rPr>
        <w:t>ne quid</w:t>
      </w:r>
      <w:r>
        <w:rPr>
          <w:lang w:val="en-US"/>
        </w:rPr>
        <w:t xml:space="preserve"> in consulendo advorsi eveniat </w:t>
      </w:r>
    </w:p>
    <w:p w:rsidR="007E5A49" w:rsidRDefault="007E5A49" w:rsidP="007C2B3D">
      <w:pPr>
        <w:spacing w:after="0"/>
        <w:ind w:left="708"/>
        <w:jc w:val="both"/>
        <w:rPr>
          <w:lang w:val="en-US"/>
        </w:rPr>
      </w:pPr>
      <w:r>
        <w:rPr>
          <w:lang w:val="en-US"/>
        </w:rPr>
        <w:t xml:space="preserve">quod nostras secundas res confutet, </w:t>
      </w:r>
    </w:p>
    <w:p w:rsidR="007E5A49" w:rsidRDefault="007E5A49" w:rsidP="007C2B3D">
      <w:pPr>
        <w:spacing w:after="0"/>
        <w:ind w:left="708"/>
        <w:jc w:val="both"/>
        <w:rPr>
          <w:lang w:val="en-US"/>
        </w:rPr>
      </w:pPr>
      <w:r>
        <w:rPr>
          <w:lang w:val="en-US"/>
        </w:rPr>
        <w:t>neve haec laetitia nimis luxuriose eveniat.</w:t>
      </w:r>
    </w:p>
    <w:p w:rsidR="007E5A49" w:rsidRPr="007E5A49" w:rsidRDefault="007E5A49" w:rsidP="007C2B3D">
      <w:pPr>
        <w:spacing w:after="0"/>
        <w:jc w:val="both"/>
        <w:rPr>
          <w:lang w:val="en-US"/>
        </w:rPr>
      </w:pPr>
    </w:p>
    <w:p w:rsidR="004F0715" w:rsidRPr="007E5A49" w:rsidRDefault="00D578ED" w:rsidP="007C2B3D">
      <w:pPr>
        <w:jc w:val="both"/>
      </w:pPr>
      <w:r w:rsidRPr="00D578ED">
        <w:t>I</w:t>
      </w:r>
      <w:r w:rsidR="00262230">
        <w:t xml:space="preserve">k </w:t>
      </w:r>
      <w:r>
        <w:t xml:space="preserve">testte </w:t>
      </w:r>
      <w:r w:rsidR="00262230">
        <w:t>deze manier van werke</w:t>
      </w:r>
      <w:r w:rsidR="00262230" w:rsidRPr="00262230">
        <w:t>n uit voor de lectuur van Caesar</w:t>
      </w:r>
      <w:r>
        <w:t>, zowel bij mijn eigen studenten op</w:t>
      </w:r>
      <w:r w:rsidR="00422D6A">
        <w:t xml:space="preserve"> de hogeschool als in een klas vier</w:t>
      </w:r>
      <w:r>
        <w:t>dejaars uit het Sint-Michielscollege in Brasschaat</w:t>
      </w:r>
      <w:r w:rsidR="00262230" w:rsidRPr="00262230">
        <w:t>.</w:t>
      </w:r>
      <w:r w:rsidR="00CB3A82">
        <w:t xml:space="preserve"> Beide groepen</w:t>
      </w:r>
      <w:r w:rsidR="00262230">
        <w:t xml:space="preserve"> gaven aan dat ze het met deze tekst lay-out veel eenvoudiger vonden om de gedach</w:t>
      </w:r>
      <w:r w:rsidR="00422D6A">
        <w:t>tegang te begrijpen, omdat ze ieder gelezen stukje al een plaats konden geven in de opbouw van de zin en als afgerond konden beschouwen zodat hun</w:t>
      </w:r>
      <w:r w:rsidR="00262230">
        <w:t xml:space="preserve"> volle f</w:t>
      </w:r>
      <w:r w:rsidR="00422D6A">
        <w:t>ocus naar het volgende stukje ko</w:t>
      </w:r>
      <w:r w:rsidR="00262230">
        <w:t>n gaan.  Inhoudelijk hielp dit hen om te volg</w:t>
      </w:r>
      <w:r w:rsidR="00CB3A82">
        <w:t>en hoe de verhaallijn zich ontrolde</w:t>
      </w:r>
      <w:r w:rsidR="007E5A49" w:rsidRPr="007E5A49">
        <w:t>.</w:t>
      </w:r>
      <w:r w:rsidR="00262230">
        <w:t xml:space="preserve"> Zij gaven ook een niet onbelangrijke emotieve factor aan. De lectuur van telkens kleine, letterlijk “overzichtelijke” eenheden gaf hen meer moed bij het lezen in tegenstelling tot </w:t>
      </w:r>
      <w:r w:rsidR="00C64662">
        <w:t>de lange zinnen die een eerder ontmoedigend effect hebben</w:t>
      </w:r>
      <w:r w:rsidR="00262230">
        <w:t xml:space="preserve">. </w:t>
      </w:r>
    </w:p>
    <w:p w:rsidR="001E6601" w:rsidRPr="00262230" w:rsidRDefault="001E6601" w:rsidP="007C2B3D">
      <w:pPr>
        <w:jc w:val="both"/>
        <w:rPr>
          <w:b/>
        </w:rPr>
      </w:pPr>
      <w:r w:rsidRPr="00262230">
        <w:rPr>
          <w:b/>
        </w:rPr>
        <w:t>Leeshulp?</w:t>
      </w:r>
    </w:p>
    <w:p w:rsidR="0093495F" w:rsidRPr="007062E1" w:rsidRDefault="00424E34" w:rsidP="007C2B3D">
      <w:pPr>
        <w:jc w:val="both"/>
      </w:pPr>
      <w:r>
        <w:t>Romeinen wisten best dat hun taal en het feit dat gelijke uitgangen bij verschille</w:t>
      </w:r>
      <w:r w:rsidR="00422D6A">
        <w:t>nde naamvallen voorkwamen het een</w:t>
      </w:r>
      <w:r>
        <w:t xml:space="preserve"> lez</w:t>
      </w:r>
      <w:r w:rsidR="006840B1">
        <w:t>er moeilijk kon maken.</w:t>
      </w:r>
      <w:r w:rsidR="00CB3A82">
        <w:rPr>
          <w:rStyle w:val="Voetnootmarkering"/>
        </w:rPr>
        <w:footnoteReference w:id="7"/>
      </w:r>
      <w:r w:rsidR="006840B1">
        <w:t xml:space="preserve"> </w:t>
      </w:r>
      <w:r w:rsidR="001E6601" w:rsidRPr="0071150C">
        <w:t>Er zijn in de zeer beperkte literaire papyri die uit de klassieke pe</w:t>
      </w:r>
      <w:r w:rsidR="001E6601">
        <w:t>riode zijn overgeleverd ook voorbeelden van interpu</w:t>
      </w:r>
      <w:r w:rsidR="00E7136A">
        <w:t>nctie di</w:t>
      </w:r>
      <w:r w:rsidR="006840B1">
        <w:t xml:space="preserve">e </w:t>
      </w:r>
      <w:r w:rsidR="00E7136A">
        <w:t xml:space="preserve">de lezer </w:t>
      </w:r>
      <w:r w:rsidR="006840B1">
        <w:t>helpen</w:t>
      </w:r>
      <w:r w:rsidR="00CB3A82">
        <w:t xml:space="preserve"> de </w:t>
      </w:r>
      <w:r w:rsidR="00CB3A82">
        <w:lastRenderedPageBreak/>
        <w:t>woordgroepen correct te onderscheiden</w:t>
      </w:r>
      <w:r w:rsidR="006840B1">
        <w:t xml:space="preserve">. </w:t>
      </w:r>
      <w:r w:rsidR="006840B1" w:rsidRPr="00876CCE">
        <w:t>Zo toont een fr</w:t>
      </w:r>
      <w:r w:rsidR="00876CCE" w:rsidRPr="00876CCE">
        <w:t>agment van een papyrus uit de eerste eeuw n</w:t>
      </w:r>
      <w:r w:rsidR="00CB3A82">
        <w:t>.</w:t>
      </w:r>
      <w:r w:rsidR="00876CCE" w:rsidRPr="00876CCE">
        <w:t>C</w:t>
      </w:r>
      <w:r w:rsidR="00CB3A82">
        <w:t>.</w:t>
      </w:r>
      <w:r w:rsidR="00876CCE" w:rsidRPr="00876CCE">
        <w:t xml:space="preserve"> (BGU II 611) </w:t>
      </w:r>
      <w:r w:rsidR="001E6601" w:rsidRPr="00876CCE">
        <w:t xml:space="preserve">een witruimte tussen </w:t>
      </w:r>
      <w:r w:rsidRPr="00876CCE">
        <w:t>een datief mv</w:t>
      </w:r>
      <w:r w:rsidR="00D54115">
        <w:t>.</w:t>
      </w:r>
      <w:r w:rsidRPr="00876CCE">
        <w:t xml:space="preserve"> en een ablatief mv.</w:t>
      </w:r>
      <w:r w:rsidR="00876CCE" w:rsidRPr="00876CCE">
        <w:t xml:space="preserve"> </w:t>
      </w:r>
      <w:r w:rsidR="00876CCE">
        <w:rPr>
          <w:lang w:val="en-US"/>
        </w:rPr>
        <w:t>“T</w:t>
      </w:r>
      <w:r w:rsidRPr="002D16A4">
        <w:rPr>
          <w:lang w:val="en-US"/>
        </w:rPr>
        <w:t xml:space="preserve">he papyrus uses a space to separate words in the ablative plural from following words in the dative plural, where modern editors place no punctuation at all.” </w:t>
      </w:r>
      <w:r w:rsidR="00422D6A">
        <w:t>(Wingo, 1972</w:t>
      </w:r>
      <w:r w:rsidR="00924CE9" w:rsidRPr="00036EC3">
        <w:t xml:space="preserve">) </w:t>
      </w:r>
      <w:r w:rsidR="00924CE9" w:rsidRPr="00CB3A82">
        <w:t>Ook in de</w:t>
      </w:r>
      <w:r w:rsidR="00924CE9">
        <w:t xml:space="preserve"> 4</w:t>
      </w:r>
      <w:r w:rsidR="00924CE9" w:rsidRPr="00E7136A">
        <w:rPr>
          <w:vertAlign w:val="superscript"/>
        </w:rPr>
        <w:t>de</w:t>
      </w:r>
      <w:r w:rsidR="00E7136A">
        <w:t>- en 5</w:t>
      </w:r>
      <w:r w:rsidR="00E7136A" w:rsidRPr="00E7136A">
        <w:rPr>
          <w:vertAlign w:val="superscript"/>
        </w:rPr>
        <w:t>de</w:t>
      </w:r>
      <w:r w:rsidR="00E7136A">
        <w:t>-</w:t>
      </w:r>
      <w:r w:rsidR="00924CE9" w:rsidRPr="00CB3A82">
        <w:t>eeuwse manuscripten van Vergilius worden leestekens gebruikt om</w:t>
      </w:r>
      <w:r w:rsidR="00924CE9">
        <w:t xml:space="preserve"> uitgebreide onderwerpen of voorwerpen, losse ablatieven en</w:t>
      </w:r>
      <w:r w:rsidR="00924CE9" w:rsidRPr="00CB3A82">
        <w:t xml:space="preserve"> voorzetselwoordgroepen</w:t>
      </w:r>
      <w:r w:rsidR="00924CE9">
        <w:rPr>
          <w:rStyle w:val="Voetnootmarkering"/>
        </w:rPr>
        <w:footnoteReference w:id="8"/>
      </w:r>
      <w:r w:rsidR="00924CE9">
        <w:t xml:space="preserve"> af te bakenen. </w:t>
      </w:r>
      <w:r w:rsidR="00422D6A" w:rsidRPr="00422D6A">
        <w:rPr>
          <w:lang w:val="en-US"/>
        </w:rPr>
        <w:t>Habinek</w:t>
      </w:r>
      <w:r w:rsidR="00D54115" w:rsidRPr="00422D6A">
        <w:rPr>
          <w:lang w:val="en-US"/>
        </w:rPr>
        <w:t xml:space="preserve"> concludeert hieruit</w:t>
      </w:r>
      <w:r w:rsidR="00036EC3" w:rsidRPr="00422D6A">
        <w:rPr>
          <w:lang w:val="en-US"/>
        </w:rPr>
        <w:t xml:space="preserve"> “that</w:t>
      </w:r>
      <w:r w:rsidR="0093495F" w:rsidRPr="00422D6A">
        <w:rPr>
          <w:lang w:val="en-US"/>
        </w:rPr>
        <w:t xml:space="preserve"> punctuation is </w:t>
      </w:r>
      <w:r w:rsidR="00D54115" w:rsidRPr="00422D6A">
        <w:rPr>
          <w:lang w:val="en-US"/>
        </w:rPr>
        <w:t>us</w:t>
      </w:r>
      <w:r w:rsidR="00422D6A">
        <w:rPr>
          <w:lang w:val="en-US"/>
        </w:rPr>
        <w:t>ed to forestall confusion”</w:t>
      </w:r>
      <w:r w:rsidR="00D54115" w:rsidRPr="00422D6A">
        <w:rPr>
          <w:lang w:val="en-US"/>
        </w:rPr>
        <w:t>.</w:t>
      </w:r>
      <w:r w:rsidR="00422D6A">
        <w:rPr>
          <w:lang w:val="en-US"/>
        </w:rPr>
        <w:t xml:space="preserve"> </w:t>
      </w:r>
      <w:r w:rsidR="00422D6A" w:rsidRPr="007062E1">
        <w:t>(Habinek, 1985)</w:t>
      </w:r>
    </w:p>
    <w:p w:rsidR="00036EC3" w:rsidRPr="00036EC3" w:rsidRDefault="00036EC3" w:rsidP="007C2B3D">
      <w:pPr>
        <w:jc w:val="both"/>
        <w:rPr>
          <w:b/>
        </w:rPr>
      </w:pPr>
      <w:r w:rsidRPr="00036EC3">
        <w:rPr>
          <w:b/>
        </w:rPr>
        <w:t>Tot slot</w:t>
      </w:r>
    </w:p>
    <w:p w:rsidR="00D54115" w:rsidRPr="00036EC3" w:rsidRDefault="00987FEF" w:rsidP="007C2B3D">
      <w:pPr>
        <w:jc w:val="both"/>
      </w:pPr>
      <w:r>
        <w:t>M</w:t>
      </w:r>
      <w:r w:rsidR="00036EC3">
        <w:t>ijn initiële vragen</w:t>
      </w:r>
      <w:r>
        <w:t xml:space="preserve"> zij</w:t>
      </w:r>
      <w:r w:rsidR="00036EC3">
        <w:t xml:space="preserve">n </w:t>
      </w:r>
      <w:r>
        <w:t>voorlopig</w:t>
      </w:r>
      <w:r w:rsidR="00422D6A">
        <w:t xml:space="preserve"> nog</w:t>
      </w:r>
      <w:r>
        <w:t xml:space="preserve"> </w:t>
      </w:r>
      <w:r w:rsidR="00036EC3">
        <w:t xml:space="preserve">niet </w:t>
      </w:r>
      <w:r>
        <w:t xml:space="preserve">allemaal </w:t>
      </w:r>
      <w:r w:rsidR="00036EC3">
        <w:t xml:space="preserve">beantwoord.  Maar mijn zoektocht leerde me wel dat </w:t>
      </w:r>
      <w:r>
        <w:t>“as the Romans read” ook inhoudt dat we het</w:t>
      </w:r>
      <w:r w:rsidR="00E7136A">
        <w:t xml:space="preserve"> voor onze 21</w:t>
      </w:r>
      <w:r w:rsidR="00E7136A" w:rsidRPr="00E7136A">
        <w:rPr>
          <w:vertAlign w:val="superscript"/>
        </w:rPr>
        <w:t>ste</w:t>
      </w:r>
      <w:r w:rsidR="00E7136A">
        <w:t>-</w:t>
      </w:r>
      <w:r w:rsidR="00036EC3">
        <w:t>eeuwse leerlinge</w:t>
      </w:r>
      <w:r>
        <w:t>n niet moeilijker moeten maken</w:t>
      </w:r>
      <w:r w:rsidR="00036EC3">
        <w:t xml:space="preserve"> dan het voor een antieke of </w:t>
      </w:r>
      <w:r w:rsidR="00924CE9">
        <w:t>laatantieke</w:t>
      </w:r>
      <w:r w:rsidR="00036EC3">
        <w:t xml:space="preserve"> </w:t>
      </w:r>
      <w:r w:rsidR="00036EC3" w:rsidRPr="006840B1">
        <w:rPr>
          <w:i/>
        </w:rPr>
        <w:t>native</w:t>
      </w:r>
      <w:r w:rsidR="00036EC3">
        <w:t xml:space="preserve"> lezer was. Het leestempo, de leesvaa</w:t>
      </w:r>
      <w:r w:rsidR="00E7136A">
        <w:t xml:space="preserve">rdigheid en het leesplezier kunnen </w:t>
      </w:r>
      <w:r w:rsidR="00036EC3">
        <w:t xml:space="preserve">er </w:t>
      </w:r>
      <w:r w:rsidR="00E7136A">
        <w:t xml:space="preserve">alleen maar </w:t>
      </w:r>
      <w:r w:rsidR="00036EC3">
        <w:t>wel bij varen.</w:t>
      </w:r>
    </w:p>
    <w:p w:rsidR="00C64662" w:rsidRPr="00036EC3" w:rsidRDefault="00C64662" w:rsidP="007C2B3D">
      <w:pPr>
        <w:jc w:val="both"/>
      </w:pPr>
    </w:p>
    <w:p w:rsidR="00A331B2" w:rsidRPr="00876CCE" w:rsidRDefault="00A331B2" w:rsidP="007C2B3D">
      <w:pPr>
        <w:jc w:val="both"/>
        <w:rPr>
          <w:b/>
          <w:lang w:val="en-US"/>
        </w:rPr>
      </w:pPr>
      <w:r w:rsidRPr="00876CCE">
        <w:rPr>
          <w:b/>
          <w:lang w:val="en-US"/>
        </w:rPr>
        <w:t>Literatuur:</w:t>
      </w:r>
    </w:p>
    <w:p w:rsidR="00D87702" w:rsidRDefault="00D87702" w:rsidP="00742B87">
      <w:pPr>
        <w:spacing w:after="0"/>
        <w:jc w:val="both"/>
        <w:rPr>
          <w:lang w:val="en-US"/>
        </w:rPr>
      </w:pPr>
      <w:r w:rsidRPr="00A331B2">
        <w:rPr>
          <w:lang w:val="en-US"/>
        </w:rPr>
        <w:t>Gavrilov</w:t>
      </w:r>
      <w:r>
        <w:rPr>
          <w:lang w:val="en-US"/>
        </w:rPr>
        <w:t>, A.K. (1997).</w:t>
      </w:r>
      <w:r w:rsidRPr="00A331B2">
        <w:rPr>
          <w:lang w:val="en-US"/>
        </w:rPr>
        <w:t xml:space="preserve"> Techniques of Reading in Classical Antiquity</w:t>
      </w:r>
      <w:r>
        <w:rPr>
          <w:lang w:val="en-US"/>
        </w:rPr>
        <w:t>.</w:t>
      </w:r>
      <w:r w:rsidR="00D54115">
        <w:rPr>
          <w:lang w:val="en-US"/>
        </w:rPr>
        <w:t xml:space="preserve"> In</w:t>
      </w:r>
      <w:r>
        <w:rPr>
          <w:lang w:val="en-US"/>
        </w:rPr>
        <w:t xml:space="preserve"> </w:t>
      </w:r>
      <w:r w:rsidRPr="00876CCE">
        <w:rPr>
          <w:i/>
          <w:lang w:val="en-US"/>
        </w:rPr>
        <w:t>The Classical Quarterly</w:t>
      </w:r>
      <w:r w:rsidRPr="00A331B2">
        <w:rPr>
          <w:lang w:val="en-US"/>
        </w:rPr>
        <w:t xml:space="preserve">, </w:t>
      </w:r>
      <w:r w:rsidRPr="00876CCE">
        <w:rPr>
          <w:i/>
          <w:lang w:val="en-US"/>
        </w:rPr>
        <w:t>New Series</w:t>
      </w:r>
      <w:r>
        <w:rPr>
          <w:lang w:val="en-US"/>
        </w:rPr>
        <w:t xml:space="preserve">, </w:t>
      </w:r>
      <w:r w:rsidRPr="00A331B2">
        <w:rPr>
          <w:lang w:val="en-US"/>
        </w:rPr>
        <w:t xml:space="preserve">47, </w:t>
      </w:r>
      <w:r>
        <w:rPr>
          <w:lang w:val="en-US"/>
        </w:rPr>
        <w:t>nr. 1, p. 56-73.</w:t>
      </w:r>
    </w:p>
    <w:p w:rsidR="00D87702" w:rsidRDefault="00D87702" w:rsidP="00742B87">
      <w:pPr>
        <w:spacing w:after="0"/>
        <w:jc w:val="both"/>
        <w:rPr>
          <w:lang w:val="en-US"/>
        </w:rPr>
      </w:pPr>
      <w:r w:rsidRPr="009517D2">
        <w:rPr>
          <w:lang w:val="en-US"/>
        </w:rPr>
        <w:t xml:space="preserve">Habinek, T.N. (1985). </w:t>
      </w:r>
      <w:r w:rsidRPr="00876CCE">
        <w:rPr>
          <w:i/>
          <w:lang w:val="en-US"/>
        </w:rPr>
        <w:t>The Colometry of Latin Prose</w:t>
      </w:r>
      <w:r w:rsidRPr="00A331B2">
        <w:rPr>
          <w:lang w:val="en-US"/>
        </w:rPr>
        <w:t>. Berkeley-Los Angeles-London: University of California Press.</w:t>
      </w:r>
    </w:p>
    <w:p w:rsidR="00987FEF" w:rsidRPr="00987FEF" w:rsidRDefault="00987FEF" w:rsidP="00742B87">
      <w:pPr>
        <w:spacing w:after="0"/>
        <w:jc w:val="both"/>
        <w:rPr>
          <w:iCs/>
          <w:lang w:val="en-US"/>
        </w:rPr>
      </w:pPr>
      <w:r w:rsidRPr="00987FEF">
        <w:rPr>
          <w:lang w:val="en-US"/>
        </w:rPr>
        <w:t xml:space="preserve">Hale, W.G. (1887), </w:t>
      </w:r>
      <w:r w:rsidRPr="00987FEF">
        <w:rPr>
          <w:i/>
          <w:lang w:val="en-US"/>
        </w:rPr>
        <w:t>The Art of Reading Latin: How to Teach it</w:t>
      </w:r>
      <w:r w:rsidRPr="00987FEF">
        <w:rPr>
          <w:lang w:val="en-US"/>
        </w:rPr>
        <w:t>. Ginn &amp; Company.</w:t>
      </w:r>
    </w:p>
    <w:p w:rsidR="00D87702" w:rsidRPr="00876CCE" w:rsidRDefault="00D87702" w:rsidP="00742B87">
      <w:pPr>
        <w:spacing w:after="0"/>
        <w:jc w:val="both"/>
        <w:rPr>
          <w:lang w:val="en-US"/>
        </w:rPr>
      </w:pPr>
      <w:r w:rsidRPr="00A331B2">
        <w:rPr>
          <w:lang w:val="en-US"/>
        </w:rPr>
        <w:t>Harrison,</w:t>
      </w:r>
      <w:r>
        <w:rPr>
          <w:lang w:val="en-US"/>
        </w:rPr>
        <w:t xml:space="preserve"> R.R. (2007). A Structural Arrangement of the Text to facilitate </w:t>
      </w:r>
      <w:r w:rsidRPr="00876CCE">
        <w:rPr>
          <w:lang w:val="en-US"/>
        </w:rPr>
        <w:t>Reading.</w:t>
      </w:r>
      <w:r w:rsidR="00D54115">
        <w:rPr>
          <w:lang w:val="en-US"/>
        </w:rPr>
        <w:t xml:space="preserve"> In</w:t>
      </w:r>
      <w:r w:rsidRPr="00876CCE">
        <w:rPr>
          <w:lang w:val="en-US"/>
        </w:rPr>
        <w:t xml:space="preserve"> </w:t>
      </w:r>
      <w:r w:rsidRPr="00876CCE">
        <w:rPr>
          <w:rFonts w:cs="Palatino-Italic"/>
          <w:i/>
          <w:iCs/>
          <w:lang w:val="en-US"/>
        </w:rPr>
        <w:t xml:space="preserve">The Classical Journal </w:t>
      </w:r>
      <w:r>
        <w:rPr>
          <w:rFonts w:cs="Palatino-Roman"/>
          <w:lang w:val="en-US"/>
        </w:rPr>
        <w:t>102, nr. 3, p. 291-</w:t>
      </w:r>
      <w:r w:rsidRPr="00876CCE">
        <w:rPr>
          <w:rFonts w:cs="Palatino-Roman"/>
          <w:lang w:val="en-US"/>
        </w:rPr>
        <w:t>303</w:t>
      </w:r>
      <w:r>
        <w:rPr>
          <w:rFonts w:cs="Palatino-Roman"/>
          <w:lang w:val="en-US"/>
        </w:rPr>
        <w:t>.</w:t>
      </w:r>
    </w:p>
    <w:p w:rsidR="00D87702" w:rsidRDefault="00D87702" w:rsidP="00742B87">
      <w:pPr>
        <w:spacing w:after="0"/>
        <w:jc w:val="both"/>
        <w:rPr>
          <w:lang w:val="en-US"/>
        </w:rPr>
      </w:pPr>
      <w:r>
        <w:rPr>
          <w:lang w:val="en-US"/>
        </w:rPr>
        <w:t>Johnson, W.A. (2000). Towards a Sociology of Reading in Classical Antiquity.</w:t>
      </w:r>
      <w:r w:rsidR="00987FEF">
        <w:rPr>
          <w:lang w:val="en-US"/>
        </w:rPr>
        <w:t xml:space="preserve"> In</w:t>
      </w:r>
      <w:r>
        <w:rPr>
          <w:lang w:val="en-US"/>
        </w:rPr>
        <w:t xml:space="preserve"> </w:t>
      </w:r>
      <w:r w:rsidRPr="00876CCE">
        <w:rPr>
          <w:i/>
          <w:lang w:val="en-US"/>
        </w:rPr>
        <w:t>The American Journal of Philology</w:t>
      </w:r>
      <w:r>
        <w:rPr>
          <w:lang w:val="en-US"/>
        </w:rPr>
        <w:t>, 121, nr. 4, p. 593-627.</w:t>
      </w:r>
    </w:p>
    <w:p w:rsidR="00987FEF" w:rsidRDefault="00987FEF" w:rsidP="00742B87">
      <w:pPr>
        <w:spacing w:after="0"/>
        <w:rPr>
          <w:lang w:val="en-US"/>
        </w:rPr>
      </w:pPr>
      <w:r>
        <w:rPr>
          <w:lang w:val="en-US"/>
        </w:rPr>
        <w:t xml:space="preserve">Johnson, W.A. (2004). </w:t>
      </w:r>
      <w:r w:rsidRPr="00FB2A07">
        <w:rPr>
          <w:i/>
          <w:lang w:val="en-US"/>
        </w:rPr>
        <w:t>Bookrolls and Scribes in Oxyrhynchus</w:t>
      </w:r>
      <w:r>
        <w:rPr>
          <w:lang w:val="en-US"/>
        </w:rPr>
        <w:t>. Toronto: University of Toronto Press.</w:t>
      </w:r>
    </w:p>
    <w:p w:rsidR="00D87702" w:rsidRPr="009B4D4A" w:rsidRDefault="00987FEF" w:rsidP="00742B87">
      <w:pPr>
        <w:spacing w:after="0"/>
        <w:jc w:val="both"/>
        <w:rPr>
          <w:lang w:val="en-US"/>
        </w:rPr>
      </w:pPr>
      <w:r w:rsidRPr="00987FEF">
        <w:t>Martin, H. en Vezin, J.</w:t>
      </w:r>
      <w:r w:rsidR="00D87702" w:rsidRPr="00987FEF">
        <w:t xml:space="preserve"> (1990). </w:t>
      </w:r>
      <w:r w:rsidR="00D87702" w:rsidRPr="007062E1">
        <w:rPr>
          <w:i/>
        </w:rPr>
        <w:t>Mise en page et mise en texte du livre manuscript</w:t>
      </w:r>
      <w:r w:rsidR="00D87702" w:rsidRPr="007062E1">
        <w:t xml:space="preserve">. </w:t>
      </w:r>
      <w:r w:rsidR="00D87702" w:rsidRPr="009B4D4A">
        <w:rPr>
          <w:lang w:val="en-US"/>
        </w:rPr>
        <w:t>Paris.</w:t>
      </w:r>
    </w:p>
    <w:p w:rsidR="00D87702" w:rsidRDefault="00D87702" w:rsidP="00742B87">
      <w:pPr>
        <w:spacing w:after="0"/>
        <w:jc w:val="both"/>
        <w:rPr>
          <w:lang w:val="en-US"/>
        </w:rPr>
      </w:pPr>
      <w:r w:rsidRPr="004E5F36">
        <w:rPr>
          <w:lang w:val="en-US"/>
        </w:rPr>
        <w:t>Parker</w:t>
      </w:r>
      <w:r>
        <w:rPr>
          <w:lang w:val="en-US"/>
        </w:rPr>
        <w:t>, H.N. (2009).</w:t>
      </w:r>
      <w:r w:rsidRPr="004E5F36">
        <w:rPr>
          <w:lang w:val="en-US"/>
        </w:rPr>
        <w:t xml:space="preserve"> Books and reading Latin Poetry</w:t>
      </w:r>
      <w:r>
        <w:rPr>
          <w:lang w:val="en-US"/>
        </w:rPr>
        <w:t xml:space="preserve">. In </w:t>
      </w:r>
      <w:r w:rsidRPr="00B60EA7">
        <w:rPr>
          <w:lang w:val="en-US"/>
        </w:rPr>
        <w:t xml:space="preserve">Johnson W. A. en Parker H.N. </w:t>
      </w:r>
      <w:r w:rsidR="00987FEF">
        <w:rPr>
          <w:lang w:val="en-US"/>
        </w:rPr>
        <w:t>(E</w:t>
      </w:r>
      <w:r>
        <w:rPr>
          <w:lang w:val="en-US"/>
        </w:rPr>
        <w:t>d).</w:t>
      </w:r>
      <w:r w:rsidRPr="00B60EA7">
        <w:rPr>
          <w:lang w:val="en-US"/>
        </w:rPr>
        <w:t xml:space="preserve"> </w:t>
      </w:r>
      <w:r w:rsidRPr="00D87702">
        <w:rPr>
          <w:i/>
          <w:lang w:val="en-US"/>
        </w:rPr>
        <w:t>Ancient Literacies. The culture of reading in Greece and Rome</w:t>
      </w:r>
      <w:r>
        <w:rPr>
          <w:lang w:val="en-US"/>
        </w:rPr>
        <w:t>. New York: Oxford University Press.</w:t>
      </w:r>
    </w:p>
    <w:p w:rsidR="00D87702" w:rsidRPr="007D212C" w:rsidRDefault="00D87702" w:rsidP="00742B87">
      <w:pPr>
        <w:spacing w:after="0"/>
        <w:jc w:val="both"/>
        <w:rPr>
          <w:lang w:val="en-US"/>
        </w:rPr>
      </w:pPr>
      <w:r>
        <w:rPr>
          <w:lang w:val="en-US"/>
        </w:rPr>
        <w:t>Robins, C. (1979). A Colometric Arrangement in Cicero.</w:t>
      </w:r>
      <w:r w:rsidR="00987FEF">
        <w:rPr>
          <w:lang w:val="en-US"/>
        </w:rPr>
        <w:t xml:space="preserve"> In</w:t>
      </w:r>
      <w:r>
        <w:rPr>
          <w:lang w:val="en-US"/>
        </w:rPr>
        <w:t xml:space="preserve"> </w:t>
      </w:r>
      <w:r w:rsidRPr="00D87702">
        <w:rPr>
          <w:i/>
          <w:lang w:val="en-US"/>
        </w:rPr>
        <w:t>Classical Journal</w:t>
      </w:r>
      <w:r>
        <w:rPr>
          <w:i/>
          <w:lang w:val="en-US"/>
        </w:rPr>
        <w:t>,</w:t>
      </w:r>
      <w:r>
        <w:rPr>
          <w:lang w:val="en-US"/>
        </w:rPr>
        <w:t xml:space="preserve"> 75, p. 57-62.</w:t>
      </w:r>
    </w:p>
    <w:p w:rsidR="00DF033D" w:rsidRDefault="00D87702" w:rsidP="00742B87">
      <w:pPr>
        <w:spacing w:after="0"/>
        <w:jc w:val="both"/>
        <w:rPr>
          <w:lang w:val="en-US"/>
        </w:rPr>
      </w:pPr>
      <w:r>
        <w:rPr>
          <w:lang w:val="en-US"/>
        </w:rPr>
        <w:t>Wingo, E.O. (1972).</w:t>
      </w:r>
      <w:r w:rsidRPr="002C4C1A">
        <w:rPr>
          <w:lang w:val="en-US"/>
        </w:rPr>
        <w:t xml:space="preserve"> </w:t>
      </w:r>
      <w:r w:rsidRPr="00D87702">
        <w:rPr>
          <w:i/>
          <w:lang w:val="en-US"/>
        </w:rPr>
        <w:t>Latin Punctuation in the Classical Age</w:t>
      </w:r>
      <w:r>
        <w:rPr>
          <w:lang w:val="en-US"/>
        </w:rPr>
        <w:t>.</w:t>
      </w:r>
      <w:r w:rsidR="00DF033D">
        <w:rPr>
          <w:lang w:val="en-US"/>
        </w:rPr>
        <w:t xml:space="preserve"> </w:t>
      </w:r>
      <w:r>
        <w:rPr>
          <w:lang w:val="en-US"/>
        </w:rPr>
        <w:t>The Hague/P</w:t>
      </w:r>
      <w:r w:rsidRPr="002C4C1A">
        <w:rPr>
          <w:lang w:val="en-US"/>
        </w:rPr>
        <w:t>aris: Mouton.</w:t>
      </w:r>
    </w:p>
    <w:p w:rsidR="008F049A" w:rsidRDefault="008F049A">
      <w:pPr>
        <w:rPr>
          <w:lang w:val="en-US"/>
        </w:rPr>
      </w:pPr>
    </w:p>
    <w:p w:rsidR="008F049A" w:rsidRDefault="008F049A">
      <w:pPr>
        <w:rPr>
          <w:lang w:val="en-US"/>
        </w:rPr>
      </w:pPr>
    </w:p>
    <w:p w:rsidR="008F049A" w:rsidRDefault="008F049A">
      <w:pPr>
        <w:rPr>
          <w:lang w:val="en-US"/>
        </w:rPr>
      </w:pPr>
    </w:p>
    <w:p w:rsidR="00D87702" w:rsidRDefault="008F049A" w:rsidP="00742B87">
      <w:pPr>
        <w:spacing w:after="0"/>
        <w:jc w:val="both"/>
        <w:rPr>
          <w:lang w:val="en-US"/>
        </w:rPr>
      </w:pPr>
      <w:r>
        <w:rPr>
          <w:lang w:val="en-US"/>
        </w:rPr>
        <w:t>A</w:t>
      </w:r>
      <w:r w:rsidR="00DF033D">
        <w:rPr>
          <w:lang w:val="en-US"/>
        </w:rPr>
        <w:t>ddendum: Leestempo</w:t>
      </w:r>
      <w:bookmarkStart w:id="0" w:name="_GoBack"/>
      <w:bookmarkEnd w:id="0"/>
    </w:p>
    <w:p w:rsidR="00DF033D" w:rsidRDefault="00DF033D" w:rsidP="00742B87">
      <w:pPr>
        <w:spacing w:after="0"/>
        <w:jc w:val="both"/>
        <w:rPr>
          <w:lang w:val="en-US"/>
        </w:rPr>
      </w:pPr>
    </w:p>
    <w:p w:rsidR="00A331B2" w:rsidRPr="00DF033D" w:rsidRDefault="00DF033D" w:rsidP="008F049A">
      <w:pPr>
        <w:spacing w:after="0"/>
        <w:jc w:val="both"/>
        <w:rPr>
          <w:lang w:val="nl-BE"/>
        </w:rPr>
      </w:pPr>
      <w:r w:rsidRPr="00DF033D">
        <w:rPr>
          <w:lang w:val="nl-BE"/>
        </w:rPr>
        <w:t xml:space="preserve">De opkomst van woordvolgorde in middeleeuws Latijn samen met de opkomst van woordscheiding zorgde voor een snellere lectuur. </w:t>
      </w:r>
      <w:r>
        <w:rPr>
          <w:lang w:val="nl-BE"/>
        </w:rPr>
        <w:t>(Saenger, 1997)</w:t>
      </w:r>
    </w:p>
    <w:sectPr w:rsidR="00A331B2" w:rsidRPr="00DF03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96E" w:rsidRDefault="005D096E" w:rsidP="003F42CD">
      <w:pPr>
        <w:spacing w:after="0" w:line="240" w:lineRule="auto"/>
      </w:pPr>
      <w:r>
        <w:separator/>
      </w:r>
    </w:p>
  </w:endnote>
  <w:endnote w:type="continuationSeparator" w:id="0">
    <w:p w:rsidR="005D096E" w:rsidRDefault="005D096E" w:rsidP="003F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Palatino-Italic">
    <w:panose1 w:val="00000000000000000000"/>
    <w:charset w:val="00"/>
    <w:family w:val="swiss"/>
    <w:notTrueType/>
    <w:pitch w:val="default"/>
    <w:sig w:usb0="00000003" w:usb1="00000000" w:usb2="00000000" w:usb3="00000000" w:csb0="00000001" w:csb1="00000000"/>
  </w:font>
  <w:font w:name="Palatino-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96E" w:rsidRDefault="005D096E" w:rsidP="003F42CD">
      <w:pPr>
        <w:spacing w:after="0" w:line="240" w:lineRule="auto"/>
      </w:pPr>
      <w:r>
        <w:separator/>
      </w:r>
    </w:p>
  </w:footnote>
  <w:footnote w:type="continuationSeparator" w:id="0">
    <w:p w:rsidR="005D096E" w:rsidRDefault="005D096E" w:rsidP="003F42CD">
      <w:pPr>
        <w:spacing w:after="0" w:line="240" w:lineRule="auto"/>
      </w:pPr>
      <w:r>
        <w:continuationSeparator/>
      </w:r>
    </w:p>
  </w:footnote>
  <w:footnote w:id="1">
    <w:p w:rsidR="00EA4110" w:rsidRDefault="00EA4110" w:rsidP="007C2B3D">
      <w:pPr>
        <w:pStyle w:val="Voetnoottekst"/>
        <w:jc w:val="both"/>
      </w:pPr>
      <w:r>
        <w:rPr>
          <w:rStyle w:val="Voetnootmarkering"/>
        </w:rPr>
        <w:footnoteRef/>
      </w:r>
      <w:r w:rsidR="0066079E">
        <w:t xml:space="preserve"> Dit artikel</w:t>
      </w:r>
      <w:r>
        <w:t xml:space="preserve"> gaat over het lezen </w:t>
      </w:r>
      <w:r w:rsidR="0079790A">
        <w:t>van literaire producten, niet over</w:t>
      </w:r>
      <w:r>
        <w:t xml:space="preserve"> geschreven documenten met een louter praktische inslag</w:t>
      </w:r>
      <w:r w:rsidRPr="003F42CD">
        <w:t>.</w:t>
      </w:r>
      <w:r>
        <w:t xml:space="preserve"> Over de verschillende geschreven </w:t>
      </w:r>
      <w:r w:rsidR="0038312B">
        <w:t>producten en de sociale stratificatie van lezers</w:t>
      </w:r>
      <w:r>
        <w:t>, zie Johnson 2000.</w:t>
      </w:r>
    </w:p>
  </w:footnote>
  <w:footnote w:id="2">
    <w:p w:rsidR="00505FEC" w:rsidRPr="004B0072" w:rsidRDefault="00505FEC" w:rsidP="004B0072">
      <w:pPr>
        <w:spacing w:after="0" w:line="240" w:lineRule="auto"/>
        <w:jc w:val="both"/>
        <w:rPr>
          <w:sz w:val="20"/>
          <w:szCs w:val="20"/>
          <w:lang w:val="en-US"/>
        </w:rPr>
      </w:pPr>
      <w:r>
        <w:rPr>
          <w:rStyle w:val="Voetnootmarkering"/>
        </w:rPr>
        <w:footnoteRef/>
      </w:r>
      <w:r w:rsidRPr="00505FEC">
        <w:rPr>
          <w:lang w:val="en-US"/>
        </w:rPr>
        <w:t xml:space="preserve"> </w:t>
      </w:r>
      <w:r w:rsidRPr="004B0072">
        <w:rPr>
          <w:sz w:val="20"/>
          <w:szCs w:val="20"/>
          <w:lang w:val="en-US"/>
        </w:rPr>
        <w:t xml:space="preserve">“Without hesitation we can now assert that there was no cognitive difficulty when fully literate ancient readers wished to read silently to themselves, and that the cognative act of silent reading was neither extraordinary nor noticeably unusual in antiquity.” (Johnson, 2000) </w:t>
      </w:r>
    </w:p>
  </w:footnote>
  <w:footnote w:id="3">
    <w:p w:rsidR="00505FEC" w:rsidRPr="00505FEC" w:rsidRDefault="00505FEC">
      <w:pPr>
        <w:pStyle w:val="Voetnoottekst"/>
        <w:rPr>
          <w:lang w:val="en-US"/>
        </w:rPr>
      </w:pPr>
      <w:r>
        <w:rPr>
          <w:rStyle w:val="Voetnootmarkering"/>
        </w:rPr>
        <w:footnoteRef/>
      </w:r>
      <w:r w:rsidRPr="00505FEC">
        <w:rPr>
          <w:lang w:val="en-US"/>
        </w:rPr>
        <w:t xml:space="preserve"> </w:t>
      </w:r>
      <w:r w:rsidRPr="00AA0D1D">
        <w:rPr>
          <w:lang w:val="en-US"/>
        </w:rPr>
        <w:t>“A writing system largely reflects the system of reading with which it interrelates</w:t>
      </w:r>
      <w:r w:rsidR="005270CB">
        <w:rPr>
          <w:lang w:val="en-US"/>
        </w:rPr>
        <w:t>.” (Johnson 2000)</w:t>
      </w:r>
    </w:p>
  </w:footnote>
  <w:footnote w:id="4">
    <w:p w:rsidR="005E60BB" w:rsidRPr="005E60BB" w:rsidRDefault="005E60BB" w:rsidP="007C2B3D">
      <w:pPr>
        <w:pStyle w:val="Voetnoottekst"/>
        <w:jc w:val="both"/>
        <w:rPr>
          <w:lang w:val="en-US"/>
        </w:rPr>
      </w:pPr>
      <w:r>
        <w:rPr>
          <w:rStyle w:val="Voetnootmarkering"/>
        </w:rPr>
        <w:footnoteRef/>
      </w:r>
      <w:r w:rsidRPr="000A6764">
        <w:rPr>
          <w:lang w:val="en-US"/>
        </w:rPr>
        <w:t xml:space="preserve"> </w:t>
      </w:r>
      <w:r>
        <w:rPr>
          <w:lang w:val="en-US"/>
        </w:rPr>
        <w:t>Wingo noemt dit “</w:t>
      </w:r>
      <w:r w:rsidRPr="005E60BB">
        <w:rPr>
          <w:lang w:val="en-US"/>
        </w:rPr>
        <w:t>one of the most astonishing cultural regressions of ancient history”</w:t>
      </w:r>
      <w:r>
        <w:rPr>
          <w:lang w:val="en-US"/>
        </w:rPr>
        <w:t>.</w:t>
      </w:r>
    </w:p>
  </w:footnote>
  <w:footnote w:id="5">
    <w:p w:rsidR="00EC1FB9" w:rsidRDefault="00EC1FB9">
      <w:pPr>
        <w:pStyle w:val="Voetnoottekst"/>
      </w:pPr>
      <w:r>
        <w:rPr>
          <w:rStyle w:val="Voetnootmarkering"/>
        </w:rPr>
        <w:footnoteRef/>
      </w:r>
      <w:r>
        <w:t xml:space="preserve"> Fischer, B. (1969). Prologus Hieronymi in Isaia Propheta. In </w:t>
      </w:r>
      <w:r w:rsidRPr="00EC1FB9">
        <w:rPr>
          <w:i/>
        </w:rPr>
        <w:t>Biblia Sacra iuxta Vulgatam Versionem</w:t>
      </w:r>
      <w:r>
        <w:t>. Stuttgart.</w:t>
      </w:r>
    </w:p>
  </w:footnote>
  <w:footnote w:id="6">
    <w:p w:rsidR="00D578ED" w:rsidRDefault="00D578ED">
      <w:pPr>
        <w:pStyle w:val="Voetnoottekst"/>
      </w:pPr>
      <w:r>
        <w:rPr>
          <w:rStyle w:val="Voetnootmarkering"/>
        </w:rPr>
        <w:footnoteRef/>
      </w:r>
      <w:r>
        <w:t xml:space="preserve"> Een manier van werken die gelijkenis vertoont met de gekende praktijk om in langere zinnen de graden van onderschikking weer te geven.</w:t>
      </w:r>
    </w:p>
  </w:footnote>
  <w:footnote w:id="7">
    <w:p w:rsidR="00D54115" w:rsidRPr="00D54115" w:rsidRDefault="00CB3A82" w:rsidP="00D54115">
      <w:pPr>
        <w:spacing w:after="0" w:line="240" w:lineRule="auto"/>
        <w:jc w:val="both"/>
        <w:rPr>
          <w:sz w:val="20"/>
          <w:szCs w:val="20"/>
        </w:rPr>
      </w:pPr>
      <w:r>
        <w:rPr>
          <w:rStyle w:val="Voetnootmarkering"/>
        </w:rPr>
        <w:footnoteRef/>
      </w:r>
      <w:r>
        <w:t xml:space="preserve"> </w:t>
      </w:r>
      <w:r w:rsidRPr="00036EC3">
        <w:rPr>
          <w:sz w:val="20"/>
          <w:szCs w:val="20"/>
        </w:rPr>
        <w:t>Getuige daarvan de pogingen van Lucilius in de eerste eeuw v.C. om het geschreven Latijn doorzichtiger te maken door vb. de</w:t>
      </w:r>
      <w:r w:rsidRPr="00CB3A82">
        <w:rPr>
          <w:sz w:val="20"/>
          <w:szCs w:val="20"/>
        </w:rPr>
        <w:t xml:space="preserve"> gen</w:t>
      </w:r>
      <w:r>
        <w:rPr>
          <w:sz w:val="20"/>
          <w:szCs w:val="20"/>
        </w:rPr>
        <w:t>.</w:t>
      </w:r>
      <w:r w:rsidRPr="00CB3A82">
        <w:rPr>
          <w:sz w:val="20"/>
          <w:szCs w:val="20"/>
        </w:rPr>
        <w:t xml:space="preserve"> enk</w:t>
      </w:r>
      <w:r>
        <w:rPr>
          <w:sz w:val="20"/>
          <w:szCs w:val="20"/>
        </w:rPr>
        <w:t>.</w:t>
      </w:r>
      <w:r w:rsidRPr="00CB3A82">
        <w:rPr>
          <w:sz w:val="20"/>
          <w:szCs w:val="20"/>
        </w:rPr>
        <w:t xml:space="preserve"> van man</w:t>
      </w:r>
      <w:r>
        <w:rPr>
          <w:sz w:val="20"/>
          <w:szCs w:val="20"/>
        </w:rPr>
        <w:t>nelijke</w:t>
      </w:r>
      <w:r w:rsidRPr="00CB3A82">
        <w:rPr>
          <w:sz w:val="20"/>
          <w:szCs w:val="20"/>
        </w:rPr>
        <w:t xml:space="preserve"> woorden te onderscheiden van </w:t>
      </w:r>
      <w:r>
        <w:rPr>
          <w:sz w:val="20"/>
          <w:szCs w:val="20"/>
        </w:rPr>
        <w:t xml:space="preserve">de </w:t>
      </w:r>
      <w:r w:rsidRPr="00CB3A82">
        <w:rPr>
          <w:sz w:val="20"/>
          <w:szCs w:val="20"/>
        </w:rPr>
        <w:t>nom</w:t>
      </w:r>
      <w:r>
        <w:rPr>
          <w:sz w:val="20"/>
          <w:szCs w:val="20"/>
        </w:rPr>
        <w:t>.</w:t>
      </w:r>
      <w:r w:rsidRPr="00CB3A82">
        <w:rPr>
          <w:sz w:val="20"/>
          <w:szCs w:val="20"/>
        </w:rPr>
        <w:t xml:space="preserve"> mv</w:t>
      </w:r>
      <w:r>
        <w:rPr>
          <w:sz w:val="20"/>
          <w:szCs w:val="20"/>
        </w:rPr>
        <w:t>.</w:t>
      </w:r>
      <w:r w:rsidRPr="00CB3A82">
        <w:rPr>
          <w:sz w:val="20"/>
          <w:szCs w:val="20"/>
        </w:rPr>
        <w:t xml:space="preserve"> vb. </w:t>
      </w:r>
      <w:r w:rsidRPr="00CB3A82">
        <w:rPr>
          <w:i/>
          <w:sz w:val="20"/>
          <w:szCs w:val="20"/>
        </w:rPr>
        <w:t>pueri – puerei</w:t>
      </w:r>
      <w:r w:rsidRPr="00CB3A82">
        <w:rPr>
          <w:sz w:val="20"/>
          <w:szCs w:val="20"/>
        </w:rPr>
        <w:t xml:space="preserve">. </w:t>
      </w:r>
    </w:p>
  </w:footnote>
  <w:footnote w:id="8">
    <w:p w:rsidR="00924CE9" w:rsidRDefault="00924CE9" w:rsidP="00D54115">
      <w:pPr>
        <w:spacing w:after="0" w:line="240" w:lineRule="auto"/>
        <w:jc w:val="both"/>
        <w:rPr>
          <w:sz w:val="20"/>
          <w:szCs w:val="20"/>
        </w:rPr>
      </w:pPr>
      <w:r w:rsidRPr="00D54115">
        <w:rPr>
          <w:rStyle w:val="Voetnootmarkering"/>
          <w:sz w:val="20"/>
          <w:szCs w:val="20"/>
        </w:rPr>
        <w:footnoteRef/>
      </w:r>
      <w:r w:rsidRPr="00D54115">
        <w:rPr>
          <w:sz w:val="20"/>
          <w:szCs w:val="20"/>
        </w:rPr>
        <w:t xml:space="preserve"> Bij de voorzetselgroepen valt op dat het telkens </w:t>
      </w:r>
      <w:r>
        <w:rPr>
          <w:sz w:val="20"/>
          <w:szCs w:val="20"/>
        </w:rPr>
        <w:t xml:space="preserve">gaat </w:t>
      </w:r>
      <w:r w:rsidRPr="00D54115">
        <w:rPr>
          <w:sz w:val="20"/>
          <w:szCs w:val="20"/>
        </w:rPr>
        <w:t xml:space="preserve">om woordgroepen met het voorzetsel in het midden, </w:t>
      </w:r>
    </w:p>
    <w:p w:rsidR="00924CE9" w:rsidRPr="00D54115" w:rsidRDefault="00924CE9" w:rsidP="00D54115">
      <w:pPr>
        <w:spacing w:after="0" w:line="240" w:lineRule="auto"/>
        <w:jc w:val="both"/>
        <w:rPr>
          <w:sz w:val="20"/>
          <w:szCs w:val="20"/>
        </w:rPr>
      </w:pPr>
      <w:r w:rsidRPr="00D54115">
        <w:rPr>
          <w:sz w:val="20"/>
          <w:szCs w:val="20"/>
        </w:rPr>
        <w:t xml:space="preserve">vb. 5. 676-677 </w:t>
      </w:r>
      <w:r w:rsidRPr="00D54115">
        <w:rPr>
          <w:sz w:val="20"/>
          <w:szCs w:val="20"/>
        </w:rPr>
        <w:tab/>
        <w:t>Ast illae.</w:t>
      </w:r>
      <w:r w:rsidRPr="00D54115">
        <w:rPr>
          <w:i/>
          <w:sz w:val="20"/>
          <w:szCs w:val="20"/>
        </w:rPr>
        <w:t>diversa metu per litora</w:t>
      </w:r>
      <w:r w:rsidRPr="00D54115">
        <w:rPr>
          <w:sz w:val="20"/>
          <w:szCs w:val="20"/>
        </w:rPr>
        <w:t>.passim // diffugiunt.</w:t>
      </w:r>
    </w:p>
    <w:p w:rsidR="00924CE9" w:rsidRDefault="00924CE9">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1B2"/>
    <w:rsid w:val="0003321A"/>
    <w:rsid w:val="00036EC3"/>
    <w:rsid w:val="000554D9"/>
    <w:rsid w:val="000846A2"/>
    <w:rsid w:val="000A6764"/>
    <w:rsid w:val="0010407A"/>
    <w:rsid w:val="00114BB3"/>
    <w:rsid w:val="00176740"/>
    <w:rsid w:val="00182188"/>
    <w:rsid w:val="001C182B"/>
    <w:rsid w:val="001C43B3"/>
    <w:rsid w:val="001D472D"/>
    <w:rsid w:val="001E2B24"/>
    <w:rsid w:val="001E6601"/>
    <w:rsid w:val="00262230"/>
    <w:rsid w:val="002A6C37"/>
    <w:rsid w:val="002B5855"/>
    <w:rsid w:val="002C4C1A"/>
    <w:rsid w:val="00324034"/>
    <w:rsid w:val="003671CA"/>
    <w:rsid w:val="0038312B"/>
    <w:rsid w:val="00384F00"/>
    <w:rsid w:val="003F42CD"/>
    <w:rsid w:val="00422D6A"/>
    <w:rsid w:val="00424E34"/>
    <w:rsid w:val="0044628B"/>
    <w:rsid w:val="00467DB7"/>
    <w:rsid w:val="004B0072"/>
    <w:rsid w:val="004F0715"/>
    <w:rsid w:val="00505FEC"/>
    <w:rsid w:val="00523CC9"/>
    <w:rsid w:val="005270CB"/>
    <w:rsid w:val="005652B6"/>
    <w:rsid w:val="00575E97"/>
    <w:rsid w:val="00590663"/>
    <w:rsid w:val="00592E22"/>
    <w:rsid w:val="005A0206"/>
    <w:rsid w:val="005C7DBD"/>
    <w:rsid w:val="005D096E"/>
    <w:rsid w:val="005D0E03"/>
    <w:rsid w:val="005E60BB"/>
    <w:rsid w:val="00623B6C"/>
    <w:rsid w:val="00644E30"/>
    <w:rsid w:val="0066079E"/>
    <w:rsid w:val="006728D9"/>
    <w:rsid w:val="006840B1"/>
    <w:rsid w:val="007062E1"/>
    <w:rsid w:val="0071150C"/>
    <w:rsid w:val="00742B87"/>
    <w:rsid w:val="007535C0"/>
    <w:rsid w:val="0079790A"/>
    <w:rsid w:val="007C2B3D"/>
    <w:rsid w:val="007D212C"/>
    <w:rsid w:val="007E5A49"/>
    <w:rsid w:val="00840727"/>
    <w:rsid w:val="00876CCE"/>
    <w:rsid w:val="008A083E"/>
    <w:rsid w:val="008A1A07"/>
    <w:rsid w:val="008B5737"/>
    <w:rsid w:val="008F049A"/>
    <w:rsid w:val="00924CE9"/>
    <w:rsid w:val="0093495F"/>
    <w:rsid w:val="009517D2"/>
    <w:rsid w:val="00966F63"/>
    <w:rsid w:val="00987FEF"/>
    <w:rsid w:val="009B4D4A"/>
    <w:rsid w:val="009E7F6A"/>
    <w:rsid w:val="009F456A"/>
    <w:rsid w:val="00A057C4"/>
    <w:rsid w:val="00A16BDE"/>
    <w:rsid w:val="00A23C13"/>
    <w:rsid w:val="00A246A6"/>
    <w:rsid w:val="00A331B2"/>
    <w:rsid w:val="00AA0D1D"/>
    <w:rsid w:val="00BF72CB"/>
    <w:rsid w:val="00C328A4"/>
    <w:rsid w:val="00C53E83"/>
    <w:rsid w:val="00C64662"/>
    <w:rsid w:val="00C65D6A"/>
    <w:rsid w:val="00C70CC3"/>
    <w:rsid w:val="00C716C4"/>
    <w:rsid w:val="00CB3449"/>
    <w:rsid w:val="00CB3A82"/>
    <w:rsid w:val="00CC2050"/>
    <w:rsid w:val="00D309B7"/>
    <w:rsid w:val="00D54115"/>
    <w:rsid w:val="00D578ED"/>
    <w:rsid w:val="00D87702"/>
    <w:rsid w:val="00DD28C8"/>
    <w:rsid w:val="00DD5382"/>
    <w:rsid w:val="00DF033D"/>
    <w:rsid w:val="00E424BD"/>
    <w:rsid w:val="00E46274"/>
    <w:rsid w:val="00E7136A"/>
    <w:rsid w:val="00E81C9F"/>
    <w:rsid w:val="00EA4110"/>
    <w:rsid w:val="00EC1FB9"/>
    <w:rsid w:val="00EC3264"/>
    <w:rsid w:val="00EC5ACA"/>
    <w:rsid w:val="00EF39A8"/>
    <w:rsid w:val="00F201DD"/>
    <w:rsid w:val="00F362CB"/>
    <w:rsid w:val="00F3704E"/>
    <w:rsid w:val="00F57465"/>
    <w:rsid w:val="00FA5E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331B2"/>
    <w:pPr>
      <w:autoSpaceDE w:val="0"/>
      <w:autoSpaceDN w:val="0"/>
      <w:adjustRightInd w:val="0"/>
      <w:spacing w:after="0" w:line="240" w:lineRule="auto"/>
    </w:pPr>
    <w:rPr>
      <w:rFonts w:ascii="Code" w:hAnsi="Code" w:cs="Code"/>
      <w:color w:val="000000"/>
      <w:sz w:val="24"/>
      <w:szCs w:val="24"/>
    </w:rPr>
  </w:style>
  <w:style w:type="paragraph" w:styleId="Voetnoottekst">
    <w:name w:val="footnote text"/>
    <w:basedOn w:val="Standaard"/>
    <w:link w:val="VoetnoottekstChar"/>
    <w:uiPriority w:val="99"/>
    <w:semiHidden/>
    <w:unhideWhenUsed/>
    <w:rsid w:val="003F42C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F42CD"/>
    <w:rPr>
      <w:sz w:val="20"/>
      <w:szCs w:val="20"/>
    </w:rPr>
  </w:style>
  <w:style w:type="character" w:styleId="Voetnootmarkering">
    <w:name w:val="footnote reference"/>
    <w:basedOn w:val="Standaardalinea-lettertype"/>
    <w:uiPriority w:val="99"/>
    <w:semiHidden/>
    <w:unhideWhenUsed/>
    <w:rsid w:val="003F42CD"/>
    <w:rPr>
      <w:vertAlign w:val="superscript"/>
    </w:rPr>
  </w:style>
  <w:style w:type="character" w:styleId="Nadruk">
    <w:name w:val="Emphasis"/>
    <w:basedOn w:val="Standaardalinea-lettertype"/>
    <w:uiPriority w:val="20"/>
    <w:qFormat/>
    <w:rsid w:val="00EC5ACA"/>
    <w:rPr>
      <w:i/>
      <w:iCs/>
    </w:rPr>
  </w:style>
  <w:style w:type="paragraph" w:styleId="Normaalweb">
    <w:name w:val="Normal (Web)"/>
    <w:basedOn w:val="Standaard"/>
    <w:uiPriority w:val="99"/>
    <w:unhideWhenUsed/>
    <w:rsid w:val="0093495F"/>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331B2"/>
    <w:pPr>
      <w:autoSpaceDE w:val="0"/>
      <w:autoSpaceDN w:val="0"/>
      <w:adjustRightInd w:val="0"/>
      <w:spacing w:after="0" w:line="240" w:lineRule="auto"/>
    </w:pPr>
    <w:rPr>
      <w:rFonts w:ascii="Code" w:hAnsi="Code" w:cs="Code"/>
      <w:color w:val="000000"/>
      <w:sz w:val="24"/>
      <w:szCs w:val="24"/>
    </w:rPr>
  </w:style>
  <w:style w:type="paragraph" w:styleId="Voetnoottekst">
    <w:name w:val="footnote text"/>
    <w:basedOn w:val="Standaard"/>
    <w:link w:val="VoetnoottekstChar"/>
    <w:uiPriority w:val="99"/>
    <w:semiHidden/>
    <w:unhideWhenUsed/>
    <w:rsid w:val="003F42C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F42CD"/>
    <w:rPr>
      <w:sz w:val="20"/>
      <w:szCs w:val="20"/>
    </w:rPr>
  </w:style>
  <w:style w:type="character" w:styleId="Voetnootmarkering">
    <w:name w:val="footnote reference"/>
    <w:basedOn w:val="Standaardalinea-lettertype"/>
    <w:uiPriority w:val="99"/>
    <w:semiHidden/>
    <w:unhideWhenUsed/>
    <w:rsid w:val="003F42CD"/>
    <w:rPr>
      <w:vertAlign w:val="superscript"/>
    </w:rPr>
  </w:style>
  <w:style w:type="character" w:styleId="Nadruk">
    <w:name w:val="Emphasis"/>
    <w:basedOn w:val="Standaardalinea-lettertype"/>
    <w:uiPriority w:val="20"/>
    <w:qFormat/>
    <w:rsid w:val="00EC5ACA"/>
    <w:rPr>
      <w:i/>
      <w:iCs/>
    </w:rPr>
  </w:style>
  <w:style w:type="paragraph" w:styleId="Normaalweb">
    <w:name w:val="Normal (Web)"/>
    <w:basedOn w:val="Standaard"/>
    <w:uiPriority w:val="99"/>
    <w:unhideWhenUsed/>
    <w:rsid w:val="0093495F"/>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9BA2C-0FA4-441E-B594-F3C3BEB1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2625</Words>
  <Characters>14438</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Karel de Grote-Hogeschool</Company>
  <LinksUpToDate>false</LinksUpToDate>
  <CharactersWithSpaces>17029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hulstaek</dc:creator>
  <cp:lastModifiedBy>-</cp:lastModifiedBy>
  <cp:revision>3</cp:revision>
  <dcterms:created xsi:type="dcterms:W3CDTF">2016-06-27T15:11:00Z</dcterms:created>
  <dcterms:modified xsi:type="dcterms:W3CDTF">2018-06-11T20:21:00Z</dcterms:modified>
</cp:coreProperties>
</file>